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sdt>
      <w:sdtPr>
        <w:rPr>
          <w:rFonts w:asciiTheme="minorHAnsi" w:eastAsiaTheme="minorHAnsi" w:hAnsiTheme="minorHAnsi" w:cstheme="minorBidi"/>
          <w:color w:val="auto"/>
          <w:sz w:val="22"/>
          <w:szCs w:val="22"/>
          <w:lang w:eastAsia="en-US"/>
        </w:rPr>
        <w:id w:val="519204108"/>
        <w:docPartObj>
          <w:docPartGallery w:val="Table of Contents"/>
          <w:docPartUnique/>
        </w:docPartObj>
      </w:sdtPr>
      <w:sdtEndPr>
        <w:rPr>
          <w:b/>
          <w:bCs/>
        </w:rPr>
      </w:sdtEndPr>
      <w:sdtContent>
        <w:p w14:paraId="771E9C4F" w14:textId="4A8DDCB0" w:rsidR="006569B1" w:rsidRPr="006569B1" w:rsidRDefault="006569B1">
          <w:pPr>
            <w:pStyle w:val="TtuloTDC"/>
            <w:rPr>
              <w:rFonts w:asciiTheme="minorHAnsi" w:eastAsiaTheme="minorHAnsi" w:hAnsiTheme="minorHAnsi" w:cstheme="minorBidi"/>
              <w:b/>
              <w:color w:val="auto"/>
              <w:lang w:eastAsia="en-US"/>
            </w:rPr>
          </w:pPr>
          <w:r>
            <w:rPr>
              <w:rFonts w:asciiTheme="minorHAnsi" w:eastAsiaTheme="minorHAnsi" w:hAnsiTheme="minorHAnsi" w:cstheme="minorBidi"/>
              <w:color w:val="auto"/>
              <w:sz w:val="22"/>
              <w:szCs w:val="22"/>
              <w:lang w:eastAsia="en-US"/>
            </w:rPr>
            <w:t xml:space="preserve">                                                                          </w:t>
          </w:r>
          <w:bookmarkStart w:id="0" w:name="_GoBack"/>
          <w:bookmarkEnd w:id="0"/>
          <w:r w:rsidRPr="006569B1">
            <w:rPr>
              <w:rFonts w:asciiTheme="minorHAnsi" w:eastAsiaTheme="minorHAnsi" w:hAnsiTheme="minorHAnsi" w:cstheme="minorBidi"/>
              <w:b/>
              <w:color w:val="auto"/>
              <w:lang w:eastAsia="en-US"/>
            </w:rPr>
            <w:t>ANEXO III.</w:t>
          </w:r>
        </w:p>
        <w:p w14:paraId="66FDD4E6" w14:textId="746F911B" w:rsidR="00C0116B" w:rsidRPr="00C0116B" w:rsidRDefault="00C0116B">
          <w:pPr>
            <w:pStyle w:val="TtuloTDC"/>
            <w:rPr>
              <w:b/>
              <w:bCs/>
              <w:color w:val="000000" w:themeColor="text1"/>
            </w:rPr>
          </w:pPr>
          <w:r w:rsidRPr="00C0116B">
            <w:rPr>
              <w:b/>
              <w:bCs/>
              <w:color w:val="000000" w:themeColor="text1"/>
            </w:rPr>
            <w:t>Contenido</w:t>
          </w:r>
        </w:p>
        <w:p w14:paraId="33405429" w14:textId="68F820DC" w:rsidR="00DF4286" w:rsidRDefault="00C0116B">
          <w:pPr>
            <w:pStyle w:val="TDC1"/>
            <w:rPr>
              <w:rFonts w:eastAsiaTheme="minorEastAsia"/>
              <w:noProof/>
              <w:lang w:eastAsia="es-ES"/>
            </w:rPr>
          </w:pPr>
          <w:r>
            <w:fldChar w:fldCharType="begin"/>
          </w:r>
          <w:r>
            <w:instrText xml:space="preserve"> TOC \o "1-3" \h \z \u </w:instrText>
          </w:r>
          <w:r>
            <w:fldChar w:fldCharType="separate"/>
          </w:r>
          <w:hyperlink w:anchor="_Toc37834238" w:history="1">
            <w:r w:rsidR="00DF4286" w:rsidRPr="00DD5D4D">
              <w:rPr>
                <w:rStyle w:val="Hipervnculo"/>
                <w:noProof/>
              </w:rPr>
              <w:t>1.</w:t>
            </w:r>
            <w:r w:rsidR="00DF4286">
              <w:rPr>
                <w:rFonts w:eastAsiaTheme="minorEastAsia"/>
                <w:noProof/>
                <w:lang w:eastAsia="es-ES"/>
              </w:rPr>
              <w:tab/>
            </w:r>
            <w:r w:rsidR="00DF4286" w:rsidRPr="00DD5D4D">
              <w:rPr>
                <w:rStyle w:val="Hipervnculo"/>
                <w:noProof/>
              </w:rPr>
              <w:t>Preparación del terreno</w:t>
            </w:r>
            <w:r w:rsidR="00DF4286">
              <w:rPr>
                <w:noProof/>
                <w:webHidden/>
              </w:rPr>
              <w:tab/>
            </w:r>
            <w:r w:rsidR="00DF4286">
              <w:rPr>
                <w:noProof/>
                <w:webHidden/>
              </w:rPr>
              <w:fldChar w:fldCharType="begin"/>
            </w:r>
            <w:r w:rsidR="00DF4286">
              <w:rPr>
                <w:noProof/>
                <w:webHidden/>
              </w:rPr>
              <w:instrText xml:space="preserve"> PAGEREF _Toc37834238 \h </w:instrText>
            </w:r>
            <w:r w:rsidR="00DF4286">
              <w:rPr>
                <w:noProof/>
                <w:webHidden/>
              </w:rPr>
            </w:r>
            <w:r w:rsidR="00DF4286">
              <w:rPr>
                <w:noProof/>
                <w:webHidden/>
              </w:rPr>
              <w:fldChar w:fldCharType="separate"/>
            </w:r>
            <w:r w:rsidR="00DF4286">
              <w:rPr>
                <w:noProof/>
                <w:webHidden/>
              </w:rPr>
              <w:t>4</w:t>
            </w:r>
            <w:r w:rsidR="00DF4286">
              <w:rPr>
                <w:noProof/>
                <w:webHidden/>
              </w:rPr>
              <w:fldChar w:fldCharType="end"/>
            </w:r>
          </w:hyperlink>
        </w:p>
        <w:p w14:paraId="45E97A57" w14:textId="303AA1A3" w:rsidR="00DF4286" w:rsidRDefault="000607E7">
          <w:pPr>
            <w:pStyle w:val="TDC1"/>
            <w:rPr>
              <w:rFonts w:eastAsiaTheme="minorEastAsia"/>
              <w:noProof/>
              <w:lang w:eastAsia="es-ES"/>
            </w:rPr>
          </w:pPr>
          <w:hyperlink w:anchor="_Toc37834239" w:history="1">
            <w:r w:rsidR="00DF4286" w:rsidRPr="00DD5D4D">
              <w:rPr>
                <w:rStyle w:val="Hipervnculo"/>
                <w:noProof/>
              </w:rPr>
              <w:t>2.</w:t>
            </w:r>
            <w:r w:rsidR="00DF4286">
              <w:rPr>
                <w:rFonts w:eastAsiaTheme="minorEastAsia"/>
                <w:noProof/>
                <w:lang w:eastAsia="es-ES"/>
              </w:rPr>
              <w:tab/>
            </w:r>
            <w:r w:rsidR="00DF4286" w:rsidRPr="00DD5D4D">
              <w:rPr>
                <w:rStyle w:val="Hipervnculo"/>
                <w:noProof/>
              </w:rPr>
              <w:t>Condiciones generales</w:t>
            </w:r>
            <w:r w:rsidR="00DF4286">
              <w:rPr>
                <w:noProof/>
                <w:webHidden/>
              </w:rPr>
              <w:tab/>
            </w:r>
            <w:r w:rsidR="00DF4286">
              <w:rPr>
                <w:noProof/>
                <w:webHidden/>
              </w:rPr>
              <w:fldChar w:fldCharType="begin"/>
            </w:r>
            <w:r w:rsidR="00DF4286">
              <w:rPr>
                <w:noProof/>
                <w:webHidden/>
              </w:rPr>
              <w:instrText xml:space="preserve"> PAGEREF _Toc37834239 \h </w:instrText>
            </w:r>
            <w:r w:rsidR="00DF4286">
              <w:rPr>
                <w:noProof/>
                <w:webHidden/>
              </w:rPr>
            </w:r>
            <w:r w:rsidR="00DF4286">
              <w:rPr>
                <w:noProof/>
                <w:webHidden/>
              </w:rPr>
              <w:fldChar w:fldCharType="separate"/>
            </w:r>
            <w:r w:rsidR="00DF4286">
              <w:rPr>
                <w:noProof/>
                <w:webHidden/>
              </w:rPr>
              <w:t>4</w:t>
            </w:r>
            <w:r w:rsidR="00DF4286">
              <w:rPr>
                <w:noProof/>
                <w:webHidden/>
              </w:rPr>
              <w:fldChar w:fldCharType="end"/>
            </w:r>
          </w:hyperlink>
        </w:p>
        <w:p w14:paraId="29074674" w14:textId="6BC31394" w:rsidR="00DF4286" w:rsidRDefault="000607E7">
          <w:pPr>
            <w:pStyle w:val="TDC1"/>
            <w:rPr>
              <w:rFonts w:eastAsiaTheme="minorEastAsia"/>
              <w:noProof/>
              <w:lang w:eastAsia="es-ES"/>
            </w:rPr>
          </w:pPr>
          <w:hyperlink w:anchor="_Toc37834240" w:history="1">
            <w:r w:rsidR="00DF4286" w:rsidRPr="00DD5D4D">
              <w:rPr>
                <w:rStyle w:val="Hipervnculo"/>
                <w:noProof/>
              </w:rPr>
              <w:t>3.</w:t>
            </w:r>
            <w:r w:rsidR="00DF4286">
              <w:rPr>
                <w:rFonts w:eastAsiaTheme="minorEastAsia"/>
                <w:noProof/>
                <w:lang w:eastAsia="es-ES"/>
              </w:rPr>
              <w:tab/>
            </w:r>
            <w:r w:rsidR="00DF4286" w:rsidRPr="00DD5D4D">
              <w:rPr>
                <w:rStyle w:val="Hipervnculo"/>
                <w:noProof/>
              </w:rPr>
              <w:t>Columnas</w:t>
            </w:r>
            <w:r w:rsidR="00DF4286">
              <w:rPr>
                <w:noProof/>
                <w:webHidden/>
              </w:rPr>
              <w:tab/>
            </w:r>
            <w:r w:rsidR="00DF4286">
              <w:rPr>
                <w:noProof/>
                <w:webHidden/>
              </w:rPr>
              <w:fldChar w:fldCharType="begin"/>
            </w:r>
            <w:r w:rsidR="00DF4286">
              <w:rPr>
                <w:noProof/>
                <w:webHidden/>
              </w:rPr>
              <w:instrText xml:space="preserve"> PAGEREF _Toc37834240 \h </w:instrText>
            </w:r>
            <w:r w:rsidR="00DF4286">
              <w:rPr>
                <w:noProof/>
                <w:webHidden/>
              </w:rPr>
            </w:r>
            <w:r w:rsidR="00DF4286">
              <w:rPr>
                <w:noProof/>
                <w:webHidden/>
              </w:rPr>
              <w:fldChar w:fldCharType="separate"/>
            </w:r>
            <w:r w:rsidR="00DF4286">
              <w:rPr>
                <w:noProof/>
                <w:webHidden/>
              </w:rPr>
              <w:t>5</w:t>
            </w:r>
            <w:r w:rsidR="00DF4286">
              <w:rPr>
                <w:noProof/>
                <w:webHidden/>
              </w:rPr>
              <w:fldChar w:fldCharType="end"/>
            </w:r>
          </w:hyperlink>
        </w:p>
        <w:p w14:paraId="1726AABB" w14:textId="2A4F9921" w:rsidR="00DF4286" w:rsidRDefault="000607E7">
          <w:pPr>
            <w:pStyle w:val="TDC2"/>
            <w:tabs>
              <w:tab w:val="left" w:pos="880"/>
              <w:tab w:val="right" w:leader="dot" w:pos="8494"/>
            </w:tabs>
            <w:rPr>
              <w:rFonts w:eastAsiaTheme="minorEastAsia"/>
              <w:noProof/>
              <w:lang w:eastAsia="es-ES"/>
            </w:rPr>
          </w:pPr>
          <w:hyperlink w:anchor="_Toc37834241" w:history="1">
            <w:r w:rsidR="00DF4286" w:rsidRPr="00DD5D4D">
              <w:rPr>
                <w:rStyle w:val="Hipervnculo"/>
                <w:noProof/>
              </w:rPr>
              <w:t>3.1</w:t>
            </w:r>
            <w:r w:rsidR="00DF4286">
              <w:rPr>
                <w:rFonts w:eastAsiaTheme="minorEastAsia"/>
                <w:noProof/>
                <w:lang w:eastAsia="es-ES"/>
              </w:rPr>
              <w:tab/>
            </w:r>
            <w:r w:rsidR="00DF4286" w:rsidRPr="00DD5D4D">
              <w:rPr>
                <w:rStyle w:val="Hipervnculo"/>
                <w:noProof/>
              </w:rPr>
              <w:t>Fundación de columnas</w:t>
            </w:r>
            <w:r w:rsidR="00DF4286">
              <w:rPr>
                <w:noProof/>
                <w:webHidden/>
              </w:rPr>
              <w:tab/>
            </w:r>
            <w:r w:rsidR="00DF4286">
              <w:rPr>
                <w:noProof/>
                <w:webHidden/>
              </w:rPr>
              <w:fldChar w:fldCharType="begin"/>
            </w:r>
            <w:r w:rsidR="00DF4286">
              <w:rPr>
                <w:noProof/>
                <w:webHidden/>
              </w:rPr>
              <w:instrText xml:space="preserve"> PAGEREF _Toc37834241 \h </w:instrText>
            </w:r>
            <w:r w:rsidR="00DF4286">
              <w:rPr>
                <w:noProof/>
                <w:webHidden/>
              </w:rPr>
            </w:r>
            <w:r w:rsidR="00DF4286">
              <w:rPr>
                <w:noProof/>
                <w:webHidden/>
              </w:rPr>
              <w:fldChar w:fldCharType="separate"/>
            </w:r>
            <w:r w:rsidR="00DF4286">
              <w:rPr>
                <w:noProof/>
                <w:webHidden/>
              </w:rPr>
              <w:t>6</w:t>
            </w:r>
            <w:r w:rsidR="00DF4286">
              <w:rPr>
                <w:noProof/>
                <w:webHidden/>
              </w:rPr>
              <w:fldChar w:fldCharType="end"/>
            </w:r>
          </w:hyperlink>
        </w:p>
        <w:p w14:paraId="41709290" w14:textId="2154D824" w:rsidR="00DF4286" w:rsidRDefault="000607E7">
          <w:pPr>
            <w:pStyle w:val="TDC1"/>
            <w:rPr>
              <w:rFonts w:eastAsiaTheme="minorEastAsia"/>
              <w:noProof/>
              <w:lang w:eastAsia="es-ES"/>
            </w:rPr>
          </w:pPr>
          <w:hyperlink w:anchor="_Toc37834242" w:history="1">
            <w:r w:rsidR="00DF4286" w:rsidRPr="00DD5D4D">
              <w:rPr>
                <w:rStyle w:val="Hipervnculo"/>
                <w:noProof/>
              </w:rPr>
              <w:t>4.</w:t>
            </w:r>
            <w:r w:rsidR="00DF4286">
              <w:rPr>
                <w:rFonts w:eastAsiaTheme="minorEastAsia"/>
                <w:noProof/>
                <w:lang w:eastAsia="es-ES"/>
              </w:rPr>
              <w:tab/>
            </w:r>
            <w:r w:rsidR="00DF4286" w:rsidRPr="00DD5D4D">
              <w:rPr>
                <w:rStyle w:val="Hipervnculo"/>
                <w:noProof/>
              </w:rPr>
              <w:t>Cuerpos de semáforos</w:t>
            </w:r>
            <w:r w:rsidR="00DF4286">
              <w:rPr>
                <w:noProof/>
                <w:webHidden/>
              </w:rPr>
              <w:tab/>
            </w:r>
            <w:r w:rsidR="00DF4286">
              <w:rPr>
                <w:noProof/>
                <w:webHidden/>
              </w:rPr>
              <w:fldChar w:fldCharType="begin"/>
            </w:r>
            <w:r w:rsidR="00DF4286">
              <w:rPr>
                <w:noProof/>
                <w:webHidden/>
              </w:rPr>
              <w:instrText xml:space="preserve"> PAGEREF _Toc37834242 \h </w:instrText>
            </w:r>
            <w:r w:rsidR="00DF4286">
              <w:rPr>
                <w:noProof/>
                <w:webHidden/>
              </w:rPr>
            </w:r>
            <w:r w:rsidR="00DF4286">
              <w:rPr>
                <w:noProof/>
                <w:webHidden/>
              </w:rPr>
              <w:fldChar w:fldCharType="separate"/>
            </w:r>
            <w:r w:rsidR="00DF4286">
              <w:rPr>
                <w:noProof/>
                <w:webHidden/>
              </w:rPr>
              <w:t>6</w:t>
            </w:r>
            <w:r w:rsidR="00DF4286">
              <w:rPr>
                <w:noProof/>
                <w:webHidden/>
              </w:rPr>
              <w:fldChar w:fldCharType="end"/>
            </w:r>
          </w:hyperlink>
        </w:p>
        <w:p w14:paraId="16B374DC" w14:textId="433E03C6" w:rsidR="00DF4286" w:rsidRDefault="000607E7">
          <w:pPr>
            <w:pStyle w:val="TDC2"/>
            <w:tabs>
              <w:tab w:val="left" w:pos="880"/>
              <w:tab w:val="right" w:leader="dot" w:pos="8494"/>
            </w:tabs>
            <w:rPr>
              <w:rFonts w:eastAsiaTheme="minorEastAsia"/>
              <w:noProof/>
              <w:lang w:eastAsia="es-ES"/>
            </w:rPr>
          </w:pPr>
          <w:hyperlink w:anchor="_Toc37834243" w:history="1">
            <w:r w:rsidR="00DF4286" w:rsidRPr="00DD5D4D">
              <w:rPr>
                <w:rStyle w:val="Hipervnculo"/>
                <w:noProof/>
              </w:rPr>
              <w:t>4.1</w:t>
            </w:r>
            <w:r w:rsidR="00DF4286">
              <w:rPr>
                <w:rFonts w:eastAsiaTheme="minorEastAsia"/>
                <w:noProof/>
                <w:lang w:eastAsia="es-ES"/>
              </w:rPr>
              <w:tab/>
            </w:r>
            <w:r w:rsidR="00DF4286" w:rsidRPr="00DD5D4D">
              <w:rPr>
                <w:rStyle w:val="Hipervnculo"/>
                <w:noProof/>
              </w:rPr>
              <w:t>Tipo y materiales</w:t>
            </w:r>
            <w:r w:rsidR="00DF4286">
              <w:rPr>
                <w:noProof/>
                <w:webHidden/>
              </w:rPr>
              <w:tab/>
            </w:r>
            <w:r w:rsidR="00DF4286">
              <w:rPr>
                <w:noProof/>
                <w:webHidden/>
              </w:rPr>
              <w:fldChar w:fldCharType="begin"/>
            </w:r>
            <w:r w:rsidR="00DF4286">
              <w:rPr>
                <w:noProof/>
                <w:webHidden/>
              </w:rPr>
              <w:instrText xml:space="preserve"> PAGEREF _Toc37834243 \h </w:instrText>
            </w:r>
            <w:r w:rsidR="00DF4286">
              <w:rPr>
                <w:noProof/>
                <w:webHidden/>
              </w:rPr>
            </w:r>
            <w:r w:rsidR="00DF4286">
              <w:rPr>
                <w:noProof/>
                <w:webHidden/>
              </w:rPr>
              <w:fldChar w:fldCharType="separate"/>
            </w:r>
            <w:r w:rsidR="00DF4286">
              <w:rPr>
                <w:noProof/>
                <w:webHidden/>
              </w:rPr>
              <w:t>6</w:t>
            </w:r>
            <w:r w:rsidR="00DF4286">
              <w:rPr>
                <w:noProof/>
                <w:webHidden/>
              </w:rPr>
              <w:fldChar w:fldCharType="end"/>
            </w:r>
          </w:hyperlink>
        </w:p>
        <w:p w14:paraId="7D96C787" w14:textId="5DADD028" w:rsidR="00DF4286" w:rsidRDefault="000607E7">
          <w:pPr>
            <w:pStyle w:val="TDC2"/>
            <w:tabs>
              <w:tab w:val="left" w:pos="880"/>
              <w:tab w:val="right" w:leader="dot" w:pos="8494"/>
            </w:tabs>
            <w:rPr>
              <w:rFonts w:eastAsiaTheme="minorEastAsia"/>
              <w:noProof/>
              <w:lang w:eastAsia="es-ES"/>
            </w:rPr>
          </w:pPr>
          <w:hyperlink w:anchor="_Toc37834244" w:history="1">
            <w:r w:rsidR="00DF4286" w:rsidRPr="00DD5D4D">
              <w:rPr>
                <w:rStyle w:val="Hipervnculo"/>
                <w:noProof/>
              </w:rPr>
              <w:t>4.2</w:t>
            </w:r>
            <w:r w:rsidR="00DF4286">
              <w:rPr>
                <w:rFonts w:eastAsiaTheme="minorEastAsia"/>
                <w:noProof/>
                <w:lang w:eastAsia="es-ES"/>
              </w:rPr>
              <w:tab/>
            </w:r>
            <w:r w:rsidR="00DF4286" w:rsidRPr="00DD5D4D">
              <w:rPr>
                <w:rStyle w:val="Hipervnculo"/>
                <w:noProof/>
              </w:rPr>
              <w:t>Estanqueidad y grado de protección</w:t>
            </w:r>
            <w:r w:rsidR="00DF4286">
              <w:rPr>
                <w:noProof/>
                <w:webHidden/>
              </w:rPr>
              <w:tab/>
            </w:r>
            <w:r w:rsidR="00DF4286">
              <w:rPr>
                <w:noProof/>
                <w:webHidden/>
              </w:rPr>
              <w:fldChar w:fldCharType="begin"/>
            </w:r>
            <w:r w:rsidR="00DF4286">
              <w:rPr>
                <w:noProof/>
                <w:webHidden/>
              </w:rPr>
              <w:instrText xml:space="preserve"> PAGEREF _Toc37834244 \h </w:instrText>
            </w:r>
            <w:r w:rsidR="00DF4286">
              <w:rPr>
                <w:noProof/>
                <w:webHidden/>
              </w:rPr>
            </w:r>
            <w:r w:rsidR="00DF4286">
              <w:rPr>
                <w:noProof/>
                <w:webHidden/>
              </w:rPr>
              <w:fldChar w:fldCharType="separate"/>
            </w:r>
            <w:r w:rsidR="00DF4286">
              <w:rPr>
                <w:noProof/>
                <w:webHidden/>
              </w:rPr>
              <w:t>7</w:t>
            </w:r>
            <w:r w:rsidR="00DF4286">
              <w:rPr>
                <w:noProof/>
                <w:webHidden/>
              </w:rPr>
              <w:fldChar w:fldCharType="end"/>
            </w:r>
          </w:hyperlink>
        </w:p>
        <w:p w14:paraId="1C717B4F" w14:textId="421AF2F2" w:rsidR="00DF4286" w:rsidRDefault="000607E7">
          <w:pPr>
            <w:pStyle w:val="TDC2"/>
            <w:tabs>
              <w:tab w:val="left" w:pos="880"/>
              <w:tab w:val="right" w:leader="dot" w:pos="8494"/>
            </w:tabs>
            <w:rPr>
              <w:rFonts w:eastAsiaTheme="minorEastAsia"/>
              <w:noProof/>
              <w:lang w:eastAsia="es-ES"/>
            </w:rPr>
          </w:pPr>
          <w:hyperlink w:anchor="_Toc37834245" w:history="1">
            <w:r w:rsidR="00DF4286" w:rsidRPr="00DD5D4D">
              <w:rPr>
                <w:rStyle w:val="Hipervnculo"/>
                <w:noProof/>
              </w:rPr>
              <w:t>4.3</w:t>
            </w:r>
            <w:r w:rsidR="00DF4286">
              <w:rPr>
                <w:rFonts w:eastAsiaTheme="minorEastAsia"/>
                <w:noProof/>
                <w:lang w:eastAsia="es-ES"/>
              </w:rPr>
              <w:tab/>
            </w:r>
            <w:r w:rsidR="00DF4286" w:rsidRPr="00DD5D4D">
              <w:rPr>
                <w:rStyle w:val="Hipervnculo"/>
                <w:noProof/>
              </w:rPr>
              <w:t>Conductores, borneras y especificaciones eléctricas</w:t>
            </w:r>
            <w:r w:rsidR="00DF4286">
              <w:rPr>
                <w:noProof/>
                <w:webHidden/>
              </w:rPr>
              <w:tab/>
            </w:r>
            <w:r w:rsidR="00DF4286">
              <w:rPr>
                <w:noProof/>
                <w:webHidden/>
              </w:rPr>
              <w:fldChar w:fldCharType="begin"/>
            </w:r>
            <w:r w:rsidR="00DF4286">
              <w:rPr>
                <w:noProof/>
                <w:webHidden/>
              </w:rPr>
              <w:instrText xml:space="preserve"> PAGEREF _Toc37834245 \h </w:instrText>
            </w:r>
            <w:r w:rsidR="00DF4286">
              <w:rPr>
                <w:noProof/>
                <w:webHidden/>
              </w:rPr>
            </w:r>
            <w:r w:rsidR="00DF4286">
              <w:rPr>
                <w:noProof/>
                <w:webHidden/>
              </w:rPr>
              <w:fldChar w:fldCharType="separate"/>
            </w:r>
            <w:r w:rsidR="00DF4286">
              <w:rPr>
                <w:noProof/>
                <w:webHidden/>
              </w:rPr>
              <w:t>8</w:t>
            </w:r>
            <w:r w:rsidR="00DF4286">
              <w:rPr>
                <w:noProof/>
                <w:webHidden/>
              </w:rPr>
              <w:fldChar w:fldCharType="end"/>
            </w:r>
          </w:hyperlink>
        </w:p>
        <w:p w14:paraId="48944384" w14:textId="08998B67" w:rsidR="00DF4286" w:rsidRDefault="000607E7">
          <w:pPr>
            <w:pStyle w:val="TDC2"/>
            <w:tabs>
              <w:tab w:val="left" w:pos="880"/>
              <w:tab w:val="right" w:leader="dot" w:pos="8494"/>
            </w:tabs>
            <w:rPr>
              <w:rFonts w:eastAsiaTheme="minorEastAsia"/>
              <w:noProof/>
              <w:lang w:eastAsia="es-ES"/>
            </w:rPr>
          </w:pPr>
          <w:hyperlink w:anchor="_Toc37834246" w:history="1">
            <w:r w:rsidR="00DF4286" w:rsidRPr="00DD5D4D">
              <w:rPr>
                <w:rStyle w:val="Hipervnculo"/>
                <w:noProof/>
              </w:rPr>
              <w:t>4.4</w:t>
            </w:r>
            <w:r w:rsidR="00DF4286">
              <w:rPr>
                <w:rFonts w:eastAsiaTheme="minorEastAsia"/>
                <w:noProof/>
                <w:lang w:eastAsia="es-ES"/>
              </w:rPr>
              <w:tab/>
            </w:r>
            <w:r w:rsidR="00DF4286" w:rsidRPr="00DD5D4D">
              <w:rPr>
                <w:rStyle w:val="Hipervnculo"/>
                <w:noProof/>
              </w:rPr>
              <w:t>Caras</w:t>
            </w:r>
            <w:r w:rsidR="00DF4286">
              <w:rPr>
                <w:noProof/>
                <w:webHidden/>
              </w:rPr>
              <w:tab/>
            </w:r>
            <w:r w:rsidR="00DF4286">
              <w:rPr>
                <w:noProof/>
                <w:webHidden/>
              </w:rPr>
              <w:fldChar w:fldCharType="begin"/>
            </w:r>
            <w:r w:rsidR="00DF4286">
              <w:rPr>
                <w:noProof/>
                <w:webHidden/>
              </w:rPr>
              <w:instrText xml:space="preserve"> PAGEREF _Toc37834246 \h </w:instrText>
            </w:r>
            <w:r w:rsidR="00DF4286">
              <w:rPr>
                <w:noProof/>
                <w:webHidden/>
              </w:rPr>
            </w:r>
            <w:r w:rsidR="00DF4286">
              <w:rPr>
                <w:noProof/>
                <w:webHidden/>
              </w:rPr>
              <w:fldChar w:fldCharType="separate"/>
            </w:r>
            <w:r w:rsidR="00DF4286">
              <w:rPr>
                <w:noProof/>
                <w:webHidden/>
              </w:rPr>
              <w:t>8</w:t>
            </w:r>
            <w:r w:rsidR="00DF4286">
              <w:rPr>
                <w:noProof/>
                <w:webHidden/>
              </w:rPr>
              <w:fldChar w:fldCharType="end"/>
            </w:r>
          </w:hyperlink>
        </w:p>
        <w:p w14:paraId="7AEEF32B" w14:textId="0785C243" w:rsidR="00DF4286" w:rsidRDefault="000607E7">
          <w:pPr>
            <w:pStyle w:val="TDC2"/>
            <w:tabs>
              <w:tab w:val="left" w:pos="880"/>
              <w:tab w:val="right" w:leader="dot" w:pos="8494"/>
            </w:tabs>
            <w:rPr>
              <w:rFonts w:eastAsiaTheme="minorEastAsia"/>
              <w:noProof/>
              <w:lang w:eastAsia="es-ES"/>
            </w:rPr>
          </w:pPr>
          <w:hyperlink w:anchor="_Toc37834247" w:history="1">
            <w:r w:rsidR="00DF4286" w:rsidRPr="00DD5D4D">
              <w:rPr>
                <w:rStyle w:val="Hipervnculo"/>
                <w:noProof/>
              </w:rPr>
              <w:t>4.5</w:t>
            </w:r>
            <w:r w:rsidR="00DF4286">
              <w:rPr>
                <w:rFonts w:eastAsiaTheme="minorEastAsia"/>
                <w:noProof/>
                <w:lang w:eastAsia="es-ES"/>
              </w:rPr>
              <w:tab/>
            </w:r>
            <w:r w:rsidR="00DF4286" w:rsidRPr="00DD5D4D">
              <w:rPr>
                <w:rStyle w:val="Hipervnculo"/>
                <w:noProof/>
              </w:rPr>
              <w:t>Lámparas</w:t>
            </w:r>
            <w:r w:rsidR="00DF4286">
              <w:rPr>
                <w:noProof/>
                <w:webHidden/>
              </w:rPr>
              <w:tab/>
            </w:r>
            <w:r w:rsidR="00DF4286">
              <w:rPr>
                <w:noProof/>
                <w:webHidden/>
              </w:rPr>
              <w:fldChar w:fldCharType="begin"/>
            </w:r>
            <w:r w:rsidR="00DF4286">
              <w:rPr>
                <w:noProof/>
                <w:webHidden/>
              </w:rPr>
              <w:instrText xml:space="preserve"> PAGEREF _Toc37834247 \h </w:instrText>
            </w:r>
            <w:r w:rsidR="00DF4286">
              <w:rPr>
                <w:noProof/>
                <w:webHidden/>
              </w:rPr>
            </w:r>
            <w:r w:rsidR="00DF4286">
              <w:rPr>
                <w:noProof/>
                <w:webHidden/>
              </w:rPr>
              <w:fldChar w:fldCharType="separate"/>
            </w:r>
            <w:r w:rsidR="00DF4286">
              <w:rPr>
                <w:noProof/>
                <w:webHidden/>
              </w:rPr>
              <w:t>9</w:t>
            </w:r>
            <w:r w:rsidR="00DF4286">
              <w:rPr>
                <w:noProof/>
                <w:webHidden/>
              </w:rPr>
              <w:fldChar w:fldCharType="end"/>
            </w:r>
          </w:hyperlink>
        </w:p>
        <w:p w14:paraId="3BF3BF1E" w14:textId="2C30F754" w:rsidR="00DF4286" w:rsidRDefault="000607E7">
          <w:pPr>
            <w:pStyle w:val="TDC2"/>
            <w:tabs>
              <w:tab w:val="left" w:pos="880"/>
              <w:tab w:val="right" w:leader="dot" w:pos="8494"/>
            </w:tabs>
            <w:rPr>
              <w:rFonts w:eastAsiaTheme="minorEastAsia"/>
              <w:noProof/>
              <w:lang w:eastAsia="es-ES"/>
            </w:rPr>
          </w:pPr>
          <w:hyperlink w:anchor="_Toc37834248" w:history="1">
            <w:r w:rsidR="00DF4286" w:rsidRPr="00DD5D4D">
              <w:rPr>
                <w:rStyle w:val="Hipervnculo"/>
                <w:noProof/>
              </w:rPr>
              <w:t>4.6</w:t>
            </w:r>
            <w:r w:rsidR="00DF4286">
              <w:rPr>
                <w:rFonts w:eastAsiaTheme="minorEastAsia"/>
                <w:noProof/>
                <w:lang w:eastAsia="es-ES"/>
              </w:rPr>
              <w:tab/>
            </w:r>
            <w:r w:rsidR="00DF4286" w:rsidRPr="00DD5D4D">
              <w:rPr>
                <w:rStyle w:val="Hipervnculo"/>
                <w:noProof/>
              </w:rPr>
              <w:t>Construcción</w:t>
            </w:r>
            <w:r w:rsidR="00DF4286">
              <w:rPr>
                <w:noProof/>
                <w:webHidden/>
              </w:rPr>
              <w:tab/>
            </w:r>
            <w:r w:rsidR="00DF4286">
              <w:rPr>
                <w:noProof/>
                <w:webHidden/>
              </w:rPr>
              <w:fldChar w:fldCharType="begin"/>
            </w:r>
            <w:r w:rsidR="00DF4286">
              <w:rPr>
                <w:noProof/>
                <w:webHidden/>
              </w:rPr>
              <w:instrText xml:space="preserve"> PAGEREF _Toc37834248 \h </w:instrText>
            </w:r>
            <w:r w:rsidR="00DF4286">
              <w:rPr>
                <w:noProof/>
                <w:webHidden/>
              </w:rPr>
            </w:r>
            <w:r w:rsidR="00DF4286">
              <w:rPr>
                <w:noProof/>
                <w:webHidden/>
              </w:rPr>
              <w:fldChar w:fldCharType="separate"/>
            </w:r>
            <w:r w:rsidR="00DF4286">
              <w:rPr>
                <w:noProof/>
                <w:webHidden/>
              </w:rPr>
              <w:t>9</w:t>
            </w:r>
            <w:r w:rsidR="00DF4286">
              <w:rPr>
                <w:noProof/>
                <w:webHidden/>
              </w:rPr>
              <w:fldChar w:fldCharType="end"/>
            </w:r>
          </w:hyperlink>
        </w:p>
        <w:p w14:paraId="10F7BD8A" w14:textId="21F1179F" w:rsidR="00DF4286" w:rsidRDefault="000607E7">
          <w:pPr>
            <w:pStyle w:val="TDC2"/>
            <w:tabs>
              <w:tab w:val="left" w:pos="880"/>
              <w:tab w:val="right" w:leader="dot" w:pos="8494"/>
            </w:tabs>
            <w:rPr>
              <w:rFonts w:eastAsiaTheme="minorEastAsia"/>
              <w:noProof/>
              <w:lang w:eastAsia="es-ES"/>
            </w:rPr>
          </w:pPr>
          <w:hyperlink w:anchor="_Toc37834249" w:history="1">
            <w:r w:rsidR="00DF4286" w:rsidRPr="00DD5D4D">
              <w:rPr>
                <w:rStyle w:val="Hipervnculo"/>
                <w:noProof/>
              </w:rPr>
              <w:t>4.7</w:t>
            </w:r>
            <w:r w:rsidR="00DF4286">
              <w:rPr>
                <w:rFonts w:eastAsiaTheme="minorEastAsia"/>
                <w:noProof/>
                <w:lang w:eastAsia="es-ES"/>
              </w:rPr>
              <w:tab/>
            </w:r>
            <w:r w:rsidR="00DF4286" w:rsidRPr="00DD5D4D">
              <w:rPr>
                <w:rStyle w:val="Hipervnculo"/>
                <w:noProof/>
              </w:rPr>
              <w:t>Dimensiones, lentes, características eléctricas y de operación, colores</w:t>
            </w:r>
            <w:r w:rsidR="00DF4286">
              <w:rPr>
                <w:noProof/>
                <w:webHidden/>
              </w:rPr>
              <w:tab/>
            </w:r>
            <w:r w:rsidR="00DF4286">
              <w:rPr>
                <w:noProof/>
                <w:webHidden/>
              </w:rPr>
              <w:fldChar w:fldCharType="begin"/>
            </w:r>
            <w:r w:rsidR="00DF4286">
              <w:rPr>
                <w:noProof/>
                <w:webHidden/>
              </w:rPr>
              <w:instrText xml:space="preserve"> PAGEREF _Toc37834249 \h </w:instrText>
            </w:r>
            <w:r w:rsidR="00DF4286">
              <w:rPr>
                <w:noProof/>
                <w:webHidden/>
              </w:rPr>
            </w:r>
            <w:r w:rsidR="00DF4286">
              <w:rPr>
                <w:noProof/>
                <w:webHidden/>
              </w:rPr>
              <w:fldChar w:fldCharType="separate"/>
            </w:r>
            <w:r w:rsidR="00DF4286">
              <w:rPr>
                <w:noProof/>
                <w:webHidden/>
              </w:rPr>
              <w:t>10</w:t>
            </w:r>
            <w:r w:rsidR="00DF4286">
              <w:rPr>
                <w:noProof/>
                <w:webHidden/>
              </w:rPr>
              <w:fldChar w:fldCharType="end"/>
            </w:r>
          </w:hyperlink>
        </w:p>
        <w:p w14:paraId="0B2F103B" w14:textId="760EB783" w:rsidR="00DF4286" w:rsidRDefault="000607E7">
          <w:pPr>
            <w:pStyle w:val="TDC2"/>
            <w:tabs>
              <w:tab w:val="left" w:pos="880"/>
              <w:tab w:val="right" w:leader="dot" w:pos="8494"/>
            </w:tabs>
            <w:rPr>
              <w:rFonts w:eastAsiaTheme="minorEastAsia"/>
              <w:noProof/>
              <w:lang w:eastAsia="es-ES"/>
            </w:rPr>
          </w:pPr>
          <w:hyperlink w:anchor="_Toc37834250" w:history="1">
            <w:r w:rsidR="00DF4286" w:rsidRPr="00DD5D4D">
              <w:rPr>
                <w:rStyle w:val="Hipervnculo"/>
                <w:noProof/>
              </w:rPr>
              <w:t>4.8</w:t>
            </w:r>
            <w:r w:rsidR="00DF4286">
              <w:rPr>
                <w:rFonts w:eastAsiaTheme="minorEastAsia"/>
                <w:noProof/>
                <w:lang w:eastAsia="es-ES"/>
              </w:rPr>
              <w:tab/>
            </w:r>
            <w:r w:rsidR="00DF4286" w:rsidRPr="00DD5D4D">
              <w:rPr>
                <w:rStyle w:val="Hipervnculo"/>
                <w:noProof/>
              </w:rPr>
              <w:t>Requisitos fotométricos</w:t>
            </w:r>
            <w:r w:rsidR="00DF4286">
              <w:rPr>
                <w:noProof/>
                <w:webHidden/>
              </w:rPr>
              <w:tab/>
            </w:r>
            <w:r w:rsidR="00DF4286">
              <w:rPr>
                <w:noProof/>
                <w:webHidden/>
              </w:rPr>
              <w:fldChar w:fldCharType="begin"/>
            </w:r>
            <w:r w:rsidR="00DF4286">
              <w:rPr>
                <w:noProof/>
                <w:webHidden/>
              </w:rPr>
              <w:instrText xml:space="preserve"> PAGEREF _Toc37834250 \h </w:instrText>
            </w:r>
            <w:r w:rsidR="00DF4286">
              <w:rPr>
                <w:noProof/>
                <w:webHidden/>
              </w:rPr>
            </w:r>
            <w:r w:rsidR="00DF4286">
              <w:rPr>
                <w:noProof/>
                <w:webHidden/>
              </w:rPr>
              <w:fldChar w:fldCharType="separate"/>
            </w:r>
            <w:r w:rsidR="00DF4286">
              <w:rPr>
                <w:noProof/>
                <w:webHidden/>
              </w:rPr>
              <w:t>11</w:t>
            </w:r>
            <w:r w:rsidR="00DF4286">
              <w:rPr>
                <w:noProof/>
                <w:webHidden/>
              </w:rPr>
              <w:fldChar w:fldCharType="end"/>
            </w:r>
          </w:hyperlink>
        </w:p>
        <w:p w14:paraId="278E6AA5" w14:textId="7154F7F5" w:rsidR="00DF4286" w:rsidRDefault="000607E7">
          <w:pPr>
            <w:pStyle w:val="TDC2"/>
            <w:tabs>
              <w:tab w:val="left" w:pos="880"/>
              <w:tab w:val="right" w:leader="dot" w:pos="8494"/>
            </w:tabs>
            <w:rPr>
              <w:rFonts w:eastAsiaTheme="minorEastAsia"/>
              <w:noProof/>
              <w:lang w:eastAsia="es-ES"/>
            </w:rPr>
          </w:pPr>
          <w:hyperlink w:anchor="_Toc37834251" w:history="1">
            <w:r w:rsidR="00DF4286" w:rsidRPr="00DD5D4D">
              <w:rPr>
                <w:rStyle w:val="Hipervnculo"/>
                <w:noProof/>
              </w:rPr>
              <w:t>4.9</w:t>
            </w:r>
            <w:r w:rsidR="00DF4286">
              <w:rPr>
                <w:rFonts w:eastAsiaTheme="minorEastAsia"/>
                <w:noProof/>
                <w:lang w:eastAsia="es-ES"/>
              </w:rPr>
              <w:tab/>
            </w:r>
            <w:r w:rsidR="00DF4286" w:rsidRPr="00DD5D4D">
              <w:rPr>
                <w:rStyle w:val="Hipervnculo"/>
                <w:noProof/>
              </w:rPr>
              <w:t>Mantenimiento y garantía</w:t>
            </w:r>
            <w:r w:rsidR="00DF4286">
              <w:rPr>
                <w:noProof/>
                <w:webHidden/>
              </w:rPr>
              <w:tab/>
            </w:r>
            <w:r w:rsidR="00DF4286">
              <w:rPr>
                <w:noProof/>
                <w:webHidden/>
              </w:rPr>
              <w:fldChar w:fldCharType="begin"/>
            </w:r>
            <w:r w:rsidR="00DF4286">
              <w:rPr>
                <w:noProof/>
                <w:webHidden/>
              </w:rPr>
              <w:instrText xml:space="preserve"> PAGEREF _Toc37834251 \h </w:instrText>
            </w:r>
            <w:r w:rsidR="00DF4286">
              <w:rPr>
                <w:noProof/>
                <w:webHidden/>
              </w:rPr>
            </w:r>
            <w:r w:rsidR="00DF4286">
              <w:rPr>
                <w:noProof/>
                <w:webHidden/>
              </w:rPr>
              <w:fldChar w:fldCharType="separate"/>
            </w:r>
            <w:r w:rsidR="00DF4286">
              <w:rPr>
                <w:noProof/>
                <w:webHidden/>
              </w:rPr>
              <w:t>12</w:t>
            </w:r>
            <w:r w:rsidR="00DF4286">
              <w:rPr>
                <w:noProof/>
                <w:webHidden/>
              </w:rPr>
              <w:fldChar w:fldCharType="end"/>
            </w:r>
          </w:hyperlink>
        </w:p>
        <w:p w14:paraId="1D9E1329" w14:textId="66F20D48" w:rsidR="00DF4286" w:rsidRDefault="000607E7">
          <w:pPr>
            <w:pStyle w:val="TDC2"/>
            <w:tabs>
              <w:tab w:val="left" w:pos="880"/>
              <w:tab w:val="right" w:leader="dot" w:pos="8494"/>
            </w:tabs>
            <w:rPr>
              <w:rFonts w:eastAsiaTheme="minorEastAsia"/>
              <w:noProof/>
              <w:lang w:eastAsia="es-ES"/>
            </w:rPr>
          </w:pPr>
          <w:hyperlink w:anchor="_Toc37834252" w:history="1">
            <w:r w:rsidR="00DF4286" w:rsidRPr="00DD5D4D">
              <w:rPr>
                <w:rStyle w:val="Hipervnculo"/>
                <w:noProof/>
              </w:rPr>
              <w:t>4.10</w:t>
            </w:r>
            <w:r w:rsidR="00DF4286">
              <w:rPr>
                <w:rFonts w:eastAsiaTheme="minorEastAsia"/>
                <w:noProof/>
                <w:lang w:eastAsia="es-ES"/>
              </w:rPr>
              <w:tab/>
            </w:r>
            <w:r w:rsidR="00DF4286" w:rsidRPr="00DD5D4D">
              <w:rPr>
                <w:rStyle w:val="Hipervnculo"/>
                <w:noProof/>
              </w:rPr>
              <w:t>Soportes</w:t>
            </w:r>
            <w:r w:rsidR="00DF4286">
              <w:rPr>
                <w:noProof/>
                <w:webHidden/>
              </w:rPr>
              <w:tab/>
            </w:r>
            <w:r w:rsidR="00DF4286">
              <w:rPr>
                <w:noProof/>
                <w:webHidden/>
              </w:rPr>
              <w:fldChar w:fldCharType="begin"/>
            </w:r>
            <w:r w:rsidR="00DF4286">
              <w:rPr>
                <w:noProof/>
                <w:webHidden/>
              </w:rPr>
              <w:instrText xml:space="preserve"> PAGEREF _Toc37834252 \h </w:instrText>
            </w:r>
            <w:r w:rsidR="00DF4286">
              <w:rPr>
                <w:noProof/>
                <w:webHidden/>
              </w:rPr>
            </w:r>
            <w:r w:rsidR="00DF4286">
              <w:rPr>
                <w:noProof/>
                <w:webHidden/>
              </w:rPr>
              <w:fldChar w:fldCharType="separate"/>
            </w:r>
            <w:r w:rsidR="00DF4286">
              <w:rPr>
                <w:noProof/>
                <w:webHidden/>
              </w:rPr>
              <w:t>12</w:t>
            </w:r>
            <w:r w:rsidR="00DF4286">
              <w:rPr>
                <w:noProof/>
                <w:webHidden/>
              </w:rPr>
              <w:fldChar w:fldCharType="end"/>
            </w:r>
          </w:hyperlink>
        </w:p>
        <w:p w14:paraId="5451CFDB" w14:textId="7F3222C9" w:rsidR="00DF4286" w:rsidRDefault="000607E7">
          <w:pPr>
            <w:pStyle w:val="TDC1"/>
            <w:rPr>
              <w:rFonts w:eastAsiaTheme="minorEastAsia"/>
              <w:noProof/>
              <w:lang w:eastAsia="es-ES"/>
            </w:rPr>
          </w:pPr>
          <w:hyperlink w:anchor="_Toc37834253" w:history="1">
            <w:r w:rsidR="00DF4286" w:rsidRPr="00DD5D4D">
              <w:rPr>
                <w:rStyle w:val="Hipervnculo"/>
                <w:noProof/>
              </w:rPr>
              <w:t>5.</w:t>
            </w:r>
            <w:r w:rsidR="00DF4286">
              <w:rPr>
                <w:rFonts w:eastAsiaTheme="minorEastAsia"/>
                <w:noProof/>
                <w:lang w:eastAsia="es-ES"/>
              </w:rPr>
              <w:tab/>
            </w:r>
            <w:r w:rsidR="00DF4286" w:rsidRPr="00DD5D4D">
              <w:rPr>
                <w:rStyle w:val="Hipervnculo"/>
                <w:noProof/>
              </w:rPr>
              <w:t>Controladores</w:t>
            </w:r>
            <w:r w:rsidR="00DF4286">
              <w:rPr>
                <w:noProof/>
                <w:webHidden/>
              </w:rPr>
              <w:tab/>
            </w:r>
            <w:r w:rsidR="00DF4286">
              <w:rPr>
                <w:noProof/>
                <w:webHidden/>
              </w:rPr>
              <w:fldChar w:fldCharType="begin"/>
            </w:r>
            <w:r w:rsidR="00DF4286">
              <w:rPr>
                <w:noProof/>
                <w:webHidden/>
              </w:rPr>
              <w:instrText xml:space="preserve"> PAGEREF _Toc37834253 \h </w:instrText>
            </w:r>
            <w:r w:rsidR="00DF4286">
              <w:rPr>
                <w:noProof/>
                <w:webHidden/>
              </w:rPr>
            </w:r>
            <w:r w:rsidR="00DF4286">
              <w:rPr>
                <w:noProof/>
                <w:webHidden/>
              </w:rPr>
              <w:fldChar w:fldCharType="separate"/>
            </w:r>
            <w:r w:rsidR="00DF4286">
              <w:rPr>
                <w:noProof/>
                <w:webHidden/>
              </w:rPr>
              <w:t>12</w:t>
            </w:r>
            <w:r w:rsidR="00DF4286">
              <w:rPr>
                <w:noProof/>
                <w:webHidden/>
              </w:rPr>
              <w:fldChar w:fldCharType="end"/>
            </w:r>
          </w:hyperlink>
        </w:p>
        <w:p w14:paraId="619FD4BB" w14:textId="41DCB35D" w:rsidR="00DF4286" w:rsidRDefault="000607E7">
          <w:pPr>
            <w:pStyle w:val="TDC2"/>
            <w:tabs>
              <w:tab w:val="left" w:pos="880"/>
              <w:tab w:val="right" w:leader="dot" w:pos="8494"/>
            </w:tabs>
            <w:rPr>
              <w:rFonts w:eastAsiaTheme="minorEastAsia"/>
              <w:noProof/>
              <w:lang w:eastAsia="es-ES"/>
            </w:rPr>
          </w:pPr>
          <w:hyperlink w:anchor="_Toc37834254" w:history="1">
            <w:r w:rsidR="00DF4286" w:rsidRPr="00DD5D4D">
              <w:rPr>
                <w:rStyle w:val="Hipervnculo"/>
                <w:rFonts w:cstheme="minorHAnsi"/>
                <w:noProof/>
              </w:rPr>
              <w:t>5.1</w:t>
            </w:r>
            <w:r w:rsidR="00DF4286">
              <w:rPr>
                <w:rFonts w:eastAsiaTheme="minorEastAsia"/>
                <w:noProof/>
                <w:lang w:eastAsia="es-ES"/>
              </w:rPr>
              <w:tab/>
            </w:r>
            <w:r w:rsidR="00DF4286" w:rsidRPr="00DD5D4D">
              <w:rPr>
                <w:rStyle w:val="Hipervnculo"/>
                <w:rFonts w:cstheme="minorHAnsi"/>
                <w:noProof/>
              </w:rPr>
              <w:t>Mod</w:t>
            </w:r>
            <w:r w:rsidR="00DF4286" w:rsidRPr="00DD5D4D">
              <w:rPr>
                <w:rStyle w:val="Hipervnculo"/>
                <w:noProof/>
              </w:rPr>
              <w:t>o rígido</w:t>
            </w:r>
            <w:r w:rsidR="00DF4286">
              <w:rPr>
                <w:noProof/>
                <w:webHidden/>
              </w:rPr>
              <w:tab/>
            </w:r>
            <w:r w:rsidR="00DF4286">
              <w:rPr>
                <w:noProof/>
                <w:webHidden/>
              </w:rPr>
              <w:fldChar w:fldCharType="begin"/>
            </w:r>
            <w:r w:rsidR="00DF4286">
              <w:rPr>
                <w:noProof/>
                <w:webHidden/>
              </w:rPr>
              <w:instrText xml:space="preserve"> PAGEREF _Toc37834254 \h </w:instrText>
            </w:r>
            <w:r w:rsidR="00DF4286">
              <w:rPr>
                <w:noProof/>
                <w:webHidden/>
              </w:rPr>
            </w:r>
            <w:r w:rsidR="00DF4286">
              <w:rPr>
                <w:noProof/>
                <w:webHidden/>
              </w:rPr>
              <w:fldChar w:fldCharType="separate"/>
            </w:r>
            <w:r w:rsidR="00DF4286">
              <w:rPr>
                <w:noProof/>
                <w:webHidden/>
              </w:rPr>
              <w:t>13</w:t>
            </w:r>
            <w:r w:rsidR="00DF4286">
              <w:rPr>
                <w:noProof/>
                <w:webHidden/>
              </w:rPr>
              <w:fldChar w:fldCharType="end"/>
            </w:r>
          </w:hyperlink>
        </w:p>
        <w:p w14:paraId="4BB0F169" w14:textId="2FF31D00" w:rsidR="00DF4286" w:rsidRDefault="000607E7">
          <w:pPr>
            <w:pStyle w:val="TDC2"/>
            <w:tabs>
              <w:tab w:val="left" w:pos="880"/>
              <w:tab w:val="right" w:leader="dot" w:pos="8494"/>
            </w:tabs>
            <w:rPr>
              <w:rFonts w:eastAsiaTheme="minorEastAsia"/>
              <w:noProof/>
              <w:lang w:eastAsia="es-ES"/>
            </w:rPr>
          </w:pPr>
          <w:hyperlink w:anchor="_Toc37834255" w:history="1">
            <w:r w:rsidR="00DF4286" w:rsidRPr="00DD5D4D">
              <w:rPr>
                <w:rStyle w:val="Hipervnculo"/>
                <w:noProof/>
              </w:rPr>
              <w:t>5.2</w:t>
            </w:r>
            <w:r w:rsidR="00DF4286">
              <w:rPr>
                <w:rFonts w:eastAsiaTheme="minorEastAsia"/>
                <w:noProof/>
                <w:lang w:eastAsia="es-ES"/>
              </w:rPr>
              <w:tab/>
            </w:r>
            <w:r w:rsidR="00DF4286" w:rsidRPr="00DD5D4D">
              <w:rPr>
                <w:rStyle w:val="Hipervnculo"/>
                <w:noProof/>
              </w:rPr>
              <w:t>Modo por demanda</w:t>
            </w:r>
            <w:r w:rsidR="00DF4286">
              <w:rPr>
                <w:noProof/>
                <w:webHidden/>
              </w:rPr>
              <w:tab/>
            </w:r>
            <w:r w:rsidR="00DF4286">
              <w:rPr>
                <w:noProof/>
                <w:webHidden/>
              </w:rPr>
              <w:fldChar w:fldCharType="begin"/>
            </w:r>
            <w:r w:rsidR="00DF4286">
              <w:rPr>
                <w:noProof/>
                <w:webHidden/>
              </w:rPr>
              <w:instrText xml:space="preserve"> PAGEREF _Toc37834255 \h </w:instrText>
            </w:r>
            <w:r w:rsidR="00DF4286">
              <w:rPr>
                <w:noProof/>
                <w:webHidden/>
              </w:rPr>
            </w:r>
            <w:r w:rsidR="00DF4286">
              <w:rPr>
                <w:noProof/>
                <w:webHidden/>
              </w:rPr>
              <w:fldChar w:fldCharType="separate"/>
            </w:r>
            <w:r w:rsidR="00DF4286">
              <w:rPr>
                <w:noProof/>
                <w:webHidden/>
              </w:rPr>
              <w:t>13</w:t>
            </w:r>
            <w:r w:rsidR="00DF4286">
              <w:rPr>
                <w:noProof/>
                <w:webHidden/>
              </w:rPr>
              <w:fldChar w:fldCharType="end"/>
            </w:r>
          </w:hyperlink>
        </w:p>
        <w:p w14:paraId="5E2A1D10" w14:textId="28EFA59F" w:rsidR="00DF4286" w:rsidRDefault="000607E7">
          <w:pPr>
            <w:pStyle w:val="TDC2"/>
            <w:tabs>
              <w:tab w:val="left" w:pos="880"/>
              <w:tab w:val="right" w:leader="dot" w:pos="8494"/>
            </w:tabs>
            <w:rPr>
              <w:rFonts w:eastAsiaTheme="minorEastAsia"/>
              <w:noProof/>
              <w:lang w:eastAsia="es-ES"/>
            </w:rPr>
          </w:pPr>
          <w:hyperlink w:anchor="_Toc37834256" w:history="1">
            <w:r w:rsidR="00DF4286" w:rsidRPr="00DD5D4D">
              <w:rPr>
                <w:rStyle w:val="Hipervnculo"/>
                <w:noProof/>
              </w:rPr>
              <w:t>5.3</w:t>
            </w:r>
            <w:r w:rsidR="00DF4286">
              <w:rPr>
                <w:rFonts w:eastAsiaTheme="minorEastAsia"/>
                <w:noProof/>
                <w:lang w:eastAsia="es-ES"/>
              </w:rPr>
              <w:tab/>
            </w:r>
            <w:r w:rsidR="00DF4286" w:rsidRPr="00DD5D4D">
              <w:rPr>
                <w:rStyle w:val="Hipervnculo"/>
                <w:noProof/>
              </w:rPr>
              <w:t>Modo destellante</w:t>
            </w:r>
            <w:r w:rsidR="00DF4286">
              <w:rPr>
                <w:noProof/>
                <w:webHidden/>
              </w:rPr>
              <w:tab/>
            </w:r>
            <w:r w:rsidR="00DF4286">
              <w:rPr>
                <w:noProof/>
                <w:webHidden/>
              </w:rPr>
              <w:fldChar w:fldCharType="begin"/>
            </w:r>
            <w:r w:rsidR="00DF4286">
              <w:rPr>
                <w:noProof/>
                <w:webHidden/>
              </w:rPr>
              <w:instrText xml:space="preserve"> PAGEREF _Toc37834256 \h </w:instrText>
            </w:r>
            <w:r w:rsidR="00DF4286">
              <w:rPr>
                <w:noProof/>
                <w:webHidden/>
              </w:rPr>
            </w:r>
            <w:r w:rsidR="00DF4286">
              <w:rPr>
                <w:noProof/>
                <w:webHidden/>
              </w:rPr>
              <w:fldChar w:fldCharType="separate"/>
            </w:r>
            <w:r w:rsidR="00DF4286">
              <w:rPr>
                <w:noProof/>
                <w:webHidden/>
              </w:rPr>
              <w:t>13</w:t>
            </w:r>
            <w:r w:rsidR="00DF4286">
              <w:rPr>
                <w:noProof/>
                <w:webHidden/>
              </w:rPr>
              <w:fldChar w:fldCharType="end"/>
            </w:r>
          </w:hyperlink>
        </w:p>
        <w:p w14:paraId="10A9D970" w14:textId="7AD44E42" w:rsidR="00DF4286" w:rsidRDefault="000607E7">
          <w:pPr>
            <w:pStyle w:val="TDC2"/>
            <w:tabs>
              <w:tab w:val="left" w:pos="880"/>
              <w:tab w:val="right" w:leader="dot" w:pos="8494"/>
            </w:tabs>
            <w:rPr>
              <w:rFonts w:eastAsiaTheme="minorEastAsia"/>
              <w:noProof/>
              <w:lang w:eastAsia="es-ES"/>
            </w:rPr>
          </w:pPr>
          <w:hyperlink w:anchor="_Toc37834257" w:history="1">
            <w:r w:rsidR="00DF4286" w:rsidRPr="00DD5D4D">
              <w:rPr>
                <w:rStyle w:val="Hipervnculo"/>
                <w:noProof/>
              </w:rPr>
              <w:t>5.4</w:t>
            </w:r>
            <w:r w:rsidR="00DF4286">
              <w:rPr>
                <w:rFonts w:eastAsiaTheme="minorEastAsia"/>
                <w:noProof/>
                <w:lang w:eastAsia="es-ES"/>
              </w:rPr>
              <w:tab/>
            </w:r>
            <w:r w:rsidR="00DF4286" w:rsidRPr="00DD5D4D">
              <w:rPr>
                <w:rStyle w:val="Hipervnculo"/>
                <w:noProof/>
              </w:rPr>
              <w:t>Programación</w:t>
            </w:r>
            <w:r w:rsidR="00DF4286">
              <w:rPr>
                <w:noProof/>
                <w:webHidden/>
              </w:rPr>
              <w:tab/>
            </w:r>
            <w:r w:rsidR="00DF4286">
              <w:rPr>
                <w:noProof/>
                <w:webHidden/>
              </w:rPr>
              <w:fldChar w:fldCharType="begin"/>
            </w:r>
            <w:r w:rsidR="00DF4286">
              <w:rPr>
                <w:noProof/>
                <w:webHidden/>
              </w:rPr>
              <w:instrText xml:space="preserve"> PAGEREF _Toc37834257 \h </w:instrText>
            </w:r>
            <w:r w:rsidR="00DF4286">
              <w:rPr>
                <w:noProof/>
                <w:webHidden/>
              </w:rPr>
            </w:r>
            <w:r w:rsidR="00DF4286">
              <w:rPr>
                <w:noProof/>
                <w:webHidden/>
              </w:rPr>
              <w:fldChar w:fldCharType="separate"/>
            </w:r>
            <w:r w:rsidR="00DF4286">
              <w:rPr>
                <w:noProof/>
                <w:webHidden/>
              </w:rPr>
              <w:t>13</w:t>
            </w:r>
            <w:r w:rsidR="00DF4286">
              <w:rPr>
                <w:noProof/>
                <w:webHidden/>
              </w:rPr>
              <w:fldChar w:fldCharType="end"/>
            </w:r>
          </w:hyperlink>
        </w:p>
        <w:p w14:paraId="5F07635F" w14:textId="2AFDEF5C" w:rsidR="00DF4286" w:rsidRDefault="000607E7">
          <w:pPr>
            <w:pStyle w:val="TDC2"/>
            <w:tabs>
              <w:tab w:val="left" w:pos="880"/>
              <w:tab w:val="right" w:leader="dot" w:pos="8494"/>
            </w:tabs>
            <w:rPr>
              <w:rFonts w:eastAsiaTheme="minorEastAsia"/>
              <w:noProof/>
              <w:lang w:eastAsia="es-ES"/>
            </w:rPr>
          </w:pPr>
          <w:hyperlink w:anchor="_Toc37834258" w:history="1">
            <w:r w:rsidR="00DF4286" w:rsidRPr="00DD5D4D">
              <w:rPr>
                <w:rStyle w:val="Hipervnculo"/>
                <w:noProof/>
              </w:rPr>
              <w:t>5.5</w:t>
            </w:r>
            <w:r w:rsidR="00DF4286">
              <w:rPr>
                <w:rFonts w:eastAsiaTheme="minorEastAsia"/>
                <w:noProof/>
                <w:lang w:eastAsia="es-ES"/>
              </w:rPr>
              <w:tab/>
            </w:r>
            <w:r w:rsidR="00DF4286" w:rsidRPr="00DD5D4D">
              <w:rPr>
                <w:rStyle w:val="Hipervnculo"/>
                <w:noProof/>
              </w:rPr>
              <w:t>Características técnicas de funcionamiento</w:t>
            </w:r>
            <w:r w:rsidR="00DF4286">
              <w:rPr>
                <w:noProof/>
                <w:webHidden/>
              </w:rPr>
              <w:tab/>
            </w:r>
            <w:r w:rsidR="00DF4286">
              <w:rPr>
                <w:noProof/>
                <w:webHidden/>
              </w:rPr>
              <w:fldChar w:fldCharType="begin"/>
            </w:r>
            <w:r w:rsidR="00DF4286">
              <w:rPr>
                <w:noProof/>
                <w:webHidden/>
              </w:rPr>
              <w:instrText xml:space="preserve"> PAGEREF _Toc37834258 \h </w:instrText>
            </w:r>
            <w:r w:rsidR="00DF4286">
              <w:rPr>
                <w:noProof/>
                <w:webHidden/>
              </w:rPr>
            </w:r>
            <w:r w:rsidR="00DF4286">
              <w:rPr>
                <w:noProof/>
                <w:webHidden/>
              </w:rPr>
              <w:fldChar w:fldCharType="separate"/>
            </w:r>
            <w:r w:rsidR="00DF4286">
              <w:rPr>
                <w:noProof/>
                <w:webHidden/>
              </w:rPr>
              <w:t>15</w:t>
            </w:r>
            <w:r w:rsidR="00DF4286">
              <w:rPr>
                <w:noProof/>
                <w:webHidden/>
              </w:rPr>
              <w:fldChar w:fldCharType="end"/>
            </w:r>
          </w:hyperlink>
        </w:p>
        <w:p w14:paraId="397C0A81" w14:textId="5C1E38E9" w:rsidR="00DF4286" w:rsidRDefault="000607E7">
          <w:pPr>
            <w:pStyle w:val="TDC2"/>
            <w:tabs>
              <w:tab w:val="left" w:pos="880"/>
              <w:tab w:val="right" w:leader="dot" w:pos="8494"/>
            </w:tabs>
            <w:rPr>
              <w:rFonts w:eastAsiaTheme="minorEastAsia"/>
              <w:noProof/>
              <w:lang w:eastAsia="es-ES"/>
            </w:rPr>
          </w:pPr>
          <w:hyperlink w:anchor="_Toc37834259" w:history="1">
            <w:r w:rsidR="00DF4286" w:rsidRPr="00DD5D4D">
              <w:rPr>
                <w:rStyle w:val="Hipervnculo"/>
                <w:noProof/>
              </w:rPr>
              <w:t>5.6</w:t>
            </w:r>
            <w:r w:rsidR="00DF4286">
              <w:rPr>
                <w:rFonts w:eastAsiaTheme="minorEastAsia"/>
                <w:noProof/>
                <w:lang w:eastAsia="es-ES"/>
              </w:rPr>
              <w:tab/>
            </w:r>
            <w:r w:rsidR="00DF4286" w:rsidRPr="00DD5D4D">
              <w:rPr>
                <w:rStyle w:val="Hipervnculo"/>
                <w:noProof/>
              </w:rPr>
              <w:t>Construcción modular</w:t>
            </w:r>
            <w:r w:rsidR="00DF4286">
              <w:rPr>
                <w:noProof/>
                <w:webHidden/>
              </w:rPr>
              <w:tab/>
            </w:r>
            <w:r w:rsidR="00DF4286">
              <w:rPr>
                <w:noProof/>
                <w:webHidden/>
              </w:rPr>
              <w:fldChar w:fldCharType="begin"/>
            </w:r>
            <w:r w:rsidR="00DF4286">
              <w:rPr>
                <w:noProof/>
                <w:webHidden/>
              </w:rPr>
              <w:instrText xml:space="preserve"> PAGEREF _Toc37834259 \h </w:instrText>
            </w:r>
            <w:r w:rsidR="00DF4286">
              <w:rPr>
                <w:noProof/>
                <w:webHidden/>
              </w:rPr>
            </w:r>
            <w:r w:rsidR="00DF4286">
              <w:rPr>
                <w:noProof/>
                <w:webHidden/>
              </w:rPr>
              <w:fldChar w:fldCharType="separate"/>
            </w:r>
            <w:r w:rsidR="00DF4286">
              <w:rPr>
                <w:noProof/>
                <w:webHidden/>
              </w:rPr>
              <w:t>16</w:t>
            </w:r>
            <w:r w:rsidR="00DF4286">
              <w:rPr>
                <w:noProof/>
                <w:webHidden/>
              </w:rPr>
              <w:fldChar w:fldCharType="end"/>
            </w:r>
          </w:hyperlink>
        </w:p>
        <w:p w14:paraId="66ABCC48" w14:textId="494DC325" w:rsidR="00DF4286" w:rsidRDefault="000607E7">
          <w:pPr>
            <w:pStyle w:val="TDC2"/>
            <w:tabs>
              <w:tab w:val="left" w:pos="880"/>
              <w:tab w:val="right" w:leader="dot" w:pos="8494"/>
            </w:tabs>
            <w:rPr>
              <w:rFonts w:eastAsiaTheme="minorEastAsia"/>
              <w:noProof/>
              <w:lang w:eastAsia="es-ES"/>
            </w:rPr>
          </w:pPr>
          <w:hyperlink w:anchor="_Toc37834260" w:history="1">
            <w:r w:rsidR="00DF4286" w:rsidRPr="00DD5D4D">
              <w:rPr>
                <w:rStyle w:val="Hipervnculo"/>
                <w:noProof/>
              </w:rPr>
              <w:t>5.7</w:t>
            </w:r>
            <w:r w:rsidR="00DF4286">
              <w:rPr>
                <w:rFonts w:eastAsiaTheme="minorEastAsia"/>
                <w:noProof/>
                <w:lang w:eastAsia="es-ES"/>
              </w:rPr>
              <w:tab/>
            </w:r>
            <w:r w:rsidR="00DF4286" w:rsidRPr="00DD5D4D">
              <w:rPr>
                <w:rStyle w:val="Hipervnculo"/>
                <w:noProof/>
              </w:rPr>
              <w:t>Protecciones de “verdes incompatibles”, falta de señales rojas y cortocircuito en un circuito de demanda</w:t>
            </w:r>
            <w:r w:rsidR="00DF4286">
              <w:rPr>
                <w:noProof/>
                <w:webHidden/>
              </w:rPr>
              <w:tab/>
            </w:r>
            <w:r w:rsidR="00DF4286">
              <w:rPr>
                <w:noProof/>
                <w:webHidden/>
              </w:rPr>
              <w:fldChar w:fldCharType="begin"/>
            </w:r>
            <w:r w:rsidR="00DF4286">
              <w:rPr>
                <w:noProof/>
                <w:webHidden/>
              </w:rPr>
              <w:instrText xml:space="preserve"> PAGEREF _Toc37834260 \h </w:instrText>
            </w:r>
            <w:r w:rsidR="00DF4286">
              <w:rPr>
                <w:noProof/>
                <w:webHidden/>
              </w:rPr>
            </w:r>
            <w:r w:rsidR="00DF4286">
              <w:rPr>
                <w:noProof/>
                <w:webHidden/>
              </w:rPr>
              <w:fldChar w:fldCharType="separate"/>
            </w:r>
            <w:r w:rsidR="00DF4286">
              <w:rPr>
                <w:noProof/>
                <w:webHidden/>
              </w:rPr>
              <w:t>16</w:t>
            </w:r>
            <w:r w:rsidR="00DF4286">
              <w:rPr>
                <w:noProof/>
                <w:webHidden/>
              </w:rPr>
              <w:fldChar w:fldCharType="end"/>
            </w:r>
          </w:hyperlink>
        </w:p>
        <w:p w14:paraId="67C8C2B1" w14:textId="5BE2BB4A" w:rsidR="00DF4286" w:rsidRDefault="000607E7">
          <w:pPr>
            <w:pStyle w:val="TDC2"/>
            <w:tabs>
              <w:tab w:val="left" w:pos="880"/>
              <w:tab w:val="right" w:leader="dot" w:pos="8494"/>
            </w:tabs>
            <w:rPr>
              <w:rFonts w:eastAsiaTheme="minorEastAsia"/>
              <w:noProof/>
              <w:lang w:eastAsia="es-ES"/>
            </w:rPr>
          </w:pPr>
          <w:hyperlink w:anchor="_Toc37834261" w:history="1">
            <w:r w:rsidR="00DF4286" w:rsidRPr="00DD5D4D">
              <w:rPr>
                <w:rStyle w:val="Hipervnculo"/>
                <w:noProof/>
              </w:rPr>
              <w:t>5.8</w:t>
            </w:r>
            <w:r w:rsidR="00DF4286">
              <w:rPr>
                <w:rFonts w:eastAsiaTheme="minorEastAsia"/>
                <w:noProof/>
                <w:lang w:eastAsia="es-ES"/>
              </w:rPr>
              <w:tab/>
            </w:r>
            <w:r w:rsidR="00DF4286" w:rsidRPr="00DD5D4D">
              <w:rPr>
                <w:rStyle w:val="Hipervnculo"/>
                <w:noProof/>
              </w:rPr>
              <w:t>Borneras y protecciones de los conductores</w:t>
            </w:r>
            <w:r w:rsidR="00DF4286">
              <w:rPr>
                <w:noProof/>
                <w:webHidden/>
              </w:rPr>
              <w:tab/>
            </w:r>
            <w:r w:rsidR="00DF4286">
              <w:rPr>
                <w:noProof/>
                <w:webHidden/>
              </w:rPr>
              <w:fldChar w:fldCharType="begin"/>
            </w:r>
            <w:r w:rsidR="00DF4286">
              <w:rPr>
                <w:noProof/>
                <w:webHidden/>
              </w:rPr>
              <w:instrText xml:space="preserve"> PAGEREF _Toc37834261 \h </w:instrText>
            </w:r>
            <w:r w:rsidR="00DF4286">
              <w:rPr>
                <w:noProof/>
                <w:webHidden/>
              </w:rPr>
            </w:r>
            <w:r w:rsidR="00DF4286">
              <w:rPr>
                <w:noProof/>
                <w:webHidden/>
              </w:rPr>
              <w:fldChar w:fldCharType="separate"/>
            </w:r>
            <w:r w:rsidR="00DF4286">
              <w:rPr>
                <w:noProof/>
                <w:webHidden/>
              </w:rPr>
              <w:t>17</w:t>
            </w:r>
            <w:r w:rsidR="00DF4286">
              <w:rPr>
                <w:noProof/>
                <w:webHidden/>
              </w:rPr>
              <w:fldChar w:fldCharType="end"/>
            </w:r>
          </w:hyperlink>
        </w:p>
        <w:p w14:paraId="1BE1E6A8" w14:textId="0D9C1EB1" w:rsidR="00DF4286" w:rsidRDefault="000607E7">
          <w:pPr>
            <w:pStyle w:val="TDC2"/>
            <w:tabs>
              <w:tab w:val="left" w:pos="880"/>
              <w:tab w:val="right" w:leader="dot" w:pos="8494"/>
            </w:tabs>
            <w:rPr>
              <w:rFonts w:eastAsiaTheme="minorEastAsia"/>
              <w:noProof/>
              <w:lang w:eastAsia="es-ES"/>
            </w:rPr>
          </w:pPr>
          <w:hyperlink w:anchor="_Toc37834262" w:history="1">
            <w:r w:rsidR="00DF4286" w:rsidRPr="00DD5D4D">
              <w:rPr>
                <w:rStyle w:val="Hipervnculo"/>
                <w:noProof/>
              </w:rPr>
              <w:t>5.9</w:t>
            </w:r>
            <w:r w:rsidR="00DF4286">
              <w:rPr>
                <w:rFonts w:eastAsiaTheme="minorEastAsia"/>
                <w:noProof/>
                <w:lang w:eastAsia="es-ES"/>
              </w:rPr>
              <w:tab/>
            </w:r>
            <w:r w:rsidR="00DF4286" w:rsidRPr="00DD5D4D">
              <w:rPr>
                <w:rStyle w:val="Hipervnculo"/>
                <w:noProof/>
              </w:rPr>
              <w:t>Documentación técnica, curso de entrenamiento y garantía</w:t>
            </w:r>
            <w:r w:rsidR="00DF4286">
              <w:rPr>
                <w:noProof/>
                <w:webHidden/>
              </w:rPr>
              <w:tab/>
            </w:r>
            <w:r w:rsidR="00DF4286">
              <w:rPr>
                <w:noProof/>
                <w:webHidden/>
              </w:rPr>
              <w:fldChar w:fldCharType="begin"/>
            </w:r>
            <w:r w:rsidR="00DF4286">
              <w:rPr>
                <w:noProof/>
                <w:webHidden/>
              </w:rPr>
              <w:instrText xml:space="preserve"> PAGEREF _Toc37834262 \h </w:instrText>
            </w:r>
            <w:r w:rsidR="00DF4286">
              <w:rPr>
                <w:noProof/>
                <w:webHidden/>
              </w:rPr>
            </w:r>
            <w:r w:rsidR="00DF4286">
              <w:rPr>
                <w:noProof/>
                <w:webHidden/>
              </w:rPr>
              <w:fldChar w:fldCharType="separate"/>
            </w:r>
            <w:r w:rsidR="00DF4286">
              <w:rPr>
                <w:noProof/>
                <w:webHidden/>
              </w:rPr>
              <w:t>17</w:t>
            </w:r>
            <w:r w:rsidR="00DF4286">
              <w:rPr>
                <w:noProof/>
                <w:webHidden/>
              </w:rPr>
              <w:fldChar w:fldCharType="end"/>
            </w:r>
          </w:hyperlink>
        </w:p>
        <w:p w14:paraId="445A7327" w14:textId="7826EAF7" w:rsidR="00DF4286" w:rsidRDefault="000607E7">
          <w:pPr>
            <w:pStyle w:val="TDC1"/>
            <w:rPr>
              <w:rFonts w:eastAsiaTheme="minorEastAsia"/>
              <w:noProof/>
              <w:lang w:eastAsia="es-ES"/>
            </w:rPr>
          </w:pPr>
          <w:hyperlink w:anchor="_Toc37834263" w:history="1">
            <w:r w:rsidR="00DF4286" w:rsidRPr="00DD5D4D">
              <w:rPr>
                <w:rStyle w:val="Hipervnculo"/>
                <w:noProof/>
              </w:rPr>
              <w:t>6.</w:t>
            </w:r>
            <w:r w:rsidR="00DF4286">
              <w:rPr>
                <w:rFonts w:eastAsiaTheme="minorEastAsia"/>
                <w:noProof/>
                <w:lang w:eastAsia="es-ES"/>
              </w:rPr>
              <w:tab/>
            </w:r>
            <w:r w:rsidR="00DF4286" w:rsidRPr="00DD5D4D">
              <w:rPr>
                <w:rStyle w:val="Hipervnculo"/>
                <w:noProof/>
              </w:rPr>
              <w:t>Gabinete para el controlador</w:t>
            </w:r>
            <w:r w:rsidR="00DF4286">
              <w:rPr>
                <w:noProof/>
                <w:webHidden/>
              </w:rPr>
              <w:tab/>
            </w:r>
            <w:r w:rsidR="00DF4286">
              <w:rPr>
                <w:noProof/>
                <w:webHidden/>
              </w:rPr>
              <w:fldChar w:fldCharType="begin"/>
            </w:r>
            <w:r w:rsidR="00DF4286">
              <w:rPr>
                <w:noProof/>
                <w:webHidden/>
              </w:rPr>
              <w:instrText xml:space="preserve"> PAGEREF _Toc37834263 \h </w:instrText>
            </w:r>
            <w:r w:rsidR="00DF4286">
              <w:rPr>
                <w:noProof/>
                <w:webHidden/>
              </w:rPr>
            </w:r>
            <w:r w:rsidR="00DF4286">
              <w:rPr>
                <w:noProof/>
                <w:webHidden/>
              </w:rPr>
              <w:fldChar w:fldCharType="separate"/>
            </w:r>
            <w:r w:rsidR="00DF4286">
              <w:rPr>
                <w:noProof/>
                <w:webHidden/>
              </w:rPr>
              <w:t>18</w:t>
            </w:r>
            <w:r w:rsidR="00DF4286">
              <w:rPr>
                <w:noProof/>
                <w:webHidden/>
              </w:rPr>
              <w:fldChar w:fldCharType="end"/>
            </w:r>
          </w:hyperlink>
        </w:p>
        <w:p w14:paraId="5D007AE1" w14:textId="3D1A835C" w:rsidR="00DF4286" w:rsidRDefault="000607E7">
          <w:pPr>
            <w:pStyle w:val="TDC1"/>
            <w:rPr>
              <w:rFonts w:eastAsiaTheme="minorEastAsia"/>
              <w:noProof/>
              <w:lang w:eastAsia="es-ES"/>
            </w:rPr>
          </w:pPr>
          <w:hyperlink w:anchor="_Toc37834264" w:history="1">
            <w:r w:rsidR="00DF4286" w:rsidRPr="00DD5D4D">
              <w:rPr>
                <w:rStyle w:val="Hipervnculo"/>
                <w:noProof/>
              </w:rPr>
              <w:t>7.</w:t>
            </w:r>
            <w:r w:rsidR="00DF4286">
              <w:rPr>
                <w:rFonts w:eastAsiaTheme="minorEastAsia"/>
                <w:noProof/>
                <w:lang w:eastAsia="es-ES"/>
              </w:rPr>
              <w:tab/>
            </w:r>
            <w:r w:rsidR="00DF4286" w:rsidRPr="00DD5D4D">
              <w:rPr>
                <w:rStyle w:val="Hipervnculo"/>
                <w:noProof/>
              </w:rPr>
              <w:t>Conductores</w:t>
            </w:r>
            <w:r w:rsidR="00DF4286">
              <w:rPr>
                <w:noProof/>
                <w:webHidden/>
              </w:rPr>
              <w:tab/>
            </w:r>
            <w:r w:rsidR="00DF4286">
              <w:rPr>
                <w:noProof/>
                <w:webHidden/>
              </w:rPr>
              <w:fldChar w:fldCharType="begin"/>
            </w:r>
            <w:r w:rsidR="00DF4286">
              <w:rPr>
                <w:noProof/>
                <w:webHidden/>
              </w:rPr>
              <w:instrText xml:space="preserve"> PAGEREF _Toc37834264 \h </w:instrText>
            </w:r>
            <w:r w:rsidR="00DF4286">
              <w:rPr>
                <w:noProof/>
                <w:webHidden/>
              </w:rPr>
            </w:r>
            <w:r w:rsidR="00DF4286">
              <w:rPr>
                <w:noProof/>
                <w:webHidden/>
              </w:rPr>
              <w:fldChar w:fldCharType="separate"/>
            </w:r>
            <w:r w:rsidR="00DF4286">
              <w:rPr>
                <w:noProof/>
                <w:webHidden/>
              </w:rPr>
              <w:t>19</w:t>
            </w:r>
            <w:r w:rsidR="00DF4286">
              <w:rPr>
                <w:noProof/>
                <w:webHidden/>
              </w:rPr>
              <w:fldChar w:fldCharType="end"/>
            </w:r>
          </w:hyperlink>
        </w:p>
        <w:p w14:paraId="7676F02A" w14:textId="65C14D8C" w:rsidR="00DF4286" w:rsidRDefault="000607E7">
          <w:pPr>
            <w:pStyle w:val="TDC1"/>
            <w:rPr>
              <w:rFonts w:eastAsiaTheme="minorEastAsia"/>
              <w:noProof/>
              <w:lang w:eastAsia="es-ES"/>
            </w:rPr>
          </w:pPr>
          <w:hyperlink w:anchor="_Toc37834265" w:history="1">
            <w:r w:rsidR="00DF4286" w:rsidRPr="00DD5D4D">
              <w:rPr>
                <w:rStyle w:val="Hipervnculo"/>
                <w:noProof/>
              </w:rPr>
              <w:t>8.</w:t>
            </w:r>
            <w:r w:rsidR="00DF4286">
              <w:rPr>
                <w:rFonts w:eastAsiaTheme="minorEastAsia"/>
                <w:noProof/>
                <w:lang w:eastAsia="es-ES"/>
              </w:rPr>
              <w:tab/>
            </w:r>
            <w:r w:rsidR="00DF4286" w:rsidRPr="00DD5D4D">
              <w:rPr>
                <w:rStyle w:val="Hipervnculo"/>
                <w:noProof/>
              </w:rPr>
              <w:t>Canalizaciones</w:t>
            </w:r>
            <w:r w:rsidR="00DF4286">
              <w:rPr>
                <w:noProof/>
                <w:webHidden/>
              </w:rPr>
              <w:tab/>
            </w:r>
            <w:r w:rsidR="00DF4286">
              <w:rPr>
                <w:noProof/>
                <w:webHidden/>
              </w:rPr>
              <w:fldChar w:fldCharType="begin"/>
            </w:r>
            <w:r w:rsidR="00DF4286">
              <w:rPr>
                <w:noProof/>
                <w:webHidden/>
              </w:rPr>
              <w:instrText xml:space="preserve"> PAGEREF _Toc37834265 \h </w:instrText>
            </w:r>
            <w:r w:rsidR="00DF4286">
              <w:rPr>
                <w:noProof/>
                <w:webHidden/>
              </w:rPr>
            </w:r>
            <w:r w:rsidR="00DF4286">
              <w:rPr>
                <w:noProof/>
                <w:webHidden/>
              </w:rPr>
              <w:fldChar w:fldCharType="separate"/>
            </w:r>
            <w:r w:rsidR="00DF4286">
              <w:rPr>
                <w:noProof/>
                <w:webHidden/>
              </w:rPr>
              <w:t>20</w:t>
            </w:r>
            <w:r w:rsidR="00DF4286">
              <w:rPr>
                <w:noProof/>
                <w:webHidden/>
              </w:rPr>
              <w:fldChar w:fldCharType="end"/>
            </w:r>
          </w:hyperlink>
        </w:p>
        <w:p w14:paraId="4BE860B6" w14:textId="3990341D" w:rsidR="00DF4286" w:rsidRDefault="000607E7">
          <w:pPr>
            <w:pStyle w:val="TDC2"/>
            <w:tabs>
              <w:tab w:val="left" w:pos="880"/>
              <w:tab w:val="right" w:leader="dot" w:pos="8494"/>
            </w:tabs>
            <w:rPr>
              <w:rFonts w:eastAsiaTheme="minorEastAsia"/>
              <w:noProof/>
              <w:lang w:eastAsia="es-ES"/>
            </w:rPr>
          </w:pPr>
          <w:hyperlink w:anchor="_Toc37834266" w:history="1">
            <w:r w:rsidR="00DF4286" w:rsidRPr="00DD5D4D">
              <w:rPr>
                <w:rStyle w:val="Hipervnculo"/>
                <w:noProof/>
              </w:rPr>
              <w:t>8.1</w:t>
            </w:r>
            <w:r w:rsidR="00DF4286">
              <w:rPr>
                <w:rFonts w:eastAsiaTheme="minorEastAsia"/>
                <w:noProof/>
                <w:lang w:eastAsia="es-ES"/>
              </w:rPr>
              <w:tab/>
            </w:r>
            <w:r w:rsidR="00DF4286" w:rsidRPr="00DD5D4D">
              <w:rPr>
                <w:rStyle w:val="Hipervnculo"/>
                <w:noProof/>
              </w:rPr>
              <w:t>Ductos</w:t>
            </w:r>
            <w:r w:rsidR="00DF4286">
              <w:rPr>
                <w:noProof/>
                <w:webHidden/>
              </w:rPr>
              <w:tab/>
            </w:r>
            <w:r w:rsidR="00DF4286">
              <w:rPr>
                <w:noProof/>
                <w:webHidden/>
              </w:rPr>
              <w:fldChar w:fldCharType="begin"/>
            </w:r>
            <w:r w:rsidR="00DF4286">
              <w:rPr>
                <w:noProof/>
                <w:webHidden/>
              </w:rPr>
              <w:instrText xml:space="preserve"> PAGEREF _Toc37834266 \h </w:instrText>
            </w:r>
            <w:r w:rsidR="00DF4286">
              <w:rPr>
                <w:noProof/>
                <w:webHidden/>
              </w:rPr>
            </w:r>
            <w:r w:rsidR="00DF4286">
              <w:rPr>
                <w:noProof/>
                <w:webHidden/>
              </w:rPr>
              <w:fldChar w:fldCharType="separate"/>
            </w:r>
            <w:r w:rsidR="00DF4286">
              <w:rPr>
                <w:noProof/>
                <w:webHidden/>
              </w:rPr>
              <w:t>20</w:t>
            </w:r>
            <w:r w:rsidR="00DF4286">
              <w:rPr>
                <w:noProof/>
                <w:webHidden/>
              </w:rPr>
              <w:fldChar w:fldCharType="end"/>
            </w:r>
          </w:hyperlink>
        </w:p>
        <w:p w14:paraId="2CD2FDDC" w14:textId="20C0D2FA" w:rsidR="00DF4286" w:rsidRDefault="000607E7">
          <w:pPr>
            <w:pStyle w:val="TDC1"/>
            <w:rPr>
              <w:rFonts w:eastAsiaTheme="minorEastAsia"/>
              <w:noProof/>
              <w:lang w:eastAsia="es-ES"/>
            </w:rPr>
          </w:pPr>
          <w:hyperlink w:anchor="_Toc37834267" w:history="1">
            <w:r w:rsidR="00DF4286" w:rsidRPr="00DD5D4D">
              <w:rPr>
                <w:rStyle w:val="Hipervnculo"/>
                <w:noProof/>
              </w:rPr>
              <w:t>9.</w:t>
            </w:r>
            <w:r w:rsidR="00DF4286">
              <w:rPr>
                <w:rFonts w:eastAsiaTheme="minorEastAsia"/>
                <w:noProof/>
                <w:lang w:eastAsia="es-ES"/>
              </w:rPr>
              <w:tab/>
            </w:r>
            <w:r w:rsidR="00DF4286" w:rsidRPr="00DD5D4D">
              <w:rPr>
                <w:rStyle w:val="Hipervnculo"/>
                <w:noProof/>
              </w:rPr>
              <w:t>Cámaras</w:t>
            </w:r>
            <w:r w:rsidR="00DF4286">
              <w:rPr>
                <w:noProof/>
                <w:webHidden/>
              </w:rPr>
              <w:tab/>
            </w:r>
            <w:r w:rsidR="00DF4286">
              <w:rPr>
                <w:noProof/>
                <w:webHidden/>
              </w:rPr>
              <w:fldChar w:fldCharType="begin"/>
            </w:r>
            <w:r w:rsidR="00DF4286">
              <w:rPr>
                <w:noProof/>
                <w:webHidden/>
              </w:rPr>
              <w:instrText xml:space="preserve"> PAGEREF _Toc37834267 \h </w:instrText>
            </w:r>
            <w:r w:rsidR="00DF4286">
              <w:rPr>
                <w:noProof/>
                <w:webHidden/>
              </w:rPr>
            </w:r>
            <w:r w:rsidR="00DF4286">
              <w:rPr>
                <w:noProof/>
                <w:webHidden/>
              </w:rPr>
              <w:fldChar w:fldCharType="separate"/>
            </w:r>
            <w:r w:rsidR="00DF4286">
              <w:rPr>
                <w:noProof/>
                <w:webHidden/>
              </w:rPr>
              <w:t>21</w:t>
            </w:r>
            <w:r w:rsidR="00DF4286">
              <w:rPr>
                <w:noProof/>
                <w:webHidden/>
              </w:rPr>
              <w:fldChar w:fldCharType="end"/>
            </w:r>
          </w:hyperlink>
        </w:p>
        <w:p w14:paraId="3561AF4C" w14:textId="2B78803C" w:rsidR="00DF4286" w:rsidRDefault="000607E7">
          <w:pPr>
            <w:pStyle w:val="TDC1"/>
            <w:rPr>
              <w:rFonts w:eastAsiaTheme="minorEastAsia"/>
              <w:noProof/>
              <w:lang w:eastAsia="es-ES"/>
            </w:rPr>
          </w:pPr>
          <w:hyperlink w:anchor="_Toc37834268" w:history="1">
            <w:r w:rsidR="00DF4286" w:rsidRPr="00DD5D4D">
              <w:rPr>
                <w:rStyle w:val="Hipervnculo"/>
                <w:noProof/>
              </w:rPr>
              <w:t>10.</w:t>
            </w:r>
            <w:r w:rsidR="00DF4286">
              <w:rPr>
                <w:rFonts w:eastAsiaTheme="minorEastAsia"/>
                <w:noProof/>
                <w:lang w:eastAsia="es-ES"/>
              </w:rPr>
              <w:tab/>
            </w:r>
            <w:r w:rsidR="00DF4286" w:rsidRPr="00DD5D4D">
              <w:rPr>
                <w:rStyle w:val="Hipervnculo"/>
                <w:noProof/>
              </w:rPr>
              <w:t>Acometidas</w:t>
            </w:r>
            <w:r w:rsidR="00DF4286">
              <w:rPr>
                <w:noProof/>
                <w:webHidden/>
              </w:rPr>
              <w:tab/>
            </w:r>
            <w:r w:rsidR="00DF4286">
              <w:rPr>
                <w:noProof/>
                <w:webHidden/>
              </w:rPr>
              <w:fldChar w:fldCharType="begin"/>
            </w:r>
            <w:r w:rsidR="00DF4286">
              <w:rPr>
                <w:noProof/>
                <w:webHidden/>
              </w:rPr>
              <w:instrText xml:space="preserve"> PAGEREF _Toc37834268 \h </w:instrText>
            </w:r>
            <w:r w:rsidR="00DF4286">
              <w:rPr>
                <w:noProof/>
                <w:webHidden/>
              </w:rPr>
            </w:r>
            <w:r w:rsidR="00DF4286">
              <w:rPr>
                <w:noProof/>
                <w:webHidden/>
              </w:rPr>
              <w:fldChar w:fldCharType="separate"/>
            </w:r>
            <w:r w:rsidR="00DF4286">
              <w:rPr>
                <w:noProof/>
                <w:webHidden/>
              </w:rPr>
              <w:t>21</w:t>
            </w:r>
            <w:r w:rsidR="00DF4286">
              <w:rPr>
                <w:noProof/>
                <w:webHidden/>
              </w:rPr>
              <w:fldChar w:fldCharType="end"/>
            </w:r>
          </w:hyperlink>
        </w:p>
        <w:p w14:paraId="7F8ED04C" w14:textId="45B7F99F" w:rsidR="00DF4286" w:rsidRDefault="000607E7">
          <w:pPr>
            <w:pStyle w:val="TDC1"/>
            <w:rPr>
              <w:rFonts w:eastAsiaTheme="minorEastAsia"/>
              <w:noProof/>
              <w:lang w:eastAsia="es-ES"/>
            </w:rPr>
          </w:pPr>
          <w:hyperlink w:anchor="_Toc37834269" w:history="1">
            <w:r w:rsidR="00DF4286" w:rsidRPr="00DD5D4D">
              <w:rPr>
                <w:rStyle w:val="Hipervnculo"/>
                <w:noProof/>
              </w:rPr>
              <w:t>11.</w:t>
            </w:r>
            <w:r w:rsidR="00DF4286">
              <w:rPr>
                <w:rFonts w:eastAsiaTheme="minorEastAsia"/>
                <w:noProof/>
                <w:lang w:eastAsia="es-ES"/>
              </w:rPr>
              <w:tab/>
            </w:r>
            <w:r w:rsidR="00DF4286" w:rsidRPr="00DD5D4D">
              <w:rPr>
                <w:rStyle w:val="Hipervnculo"/>
                <w:noProof/>
              </w:rPr>
              <w:t>Descarga (puestas) a Tierra</w:t>
            </w:r>
            <w:r w:rsidR="00DF4286">
              <w:rPr>
                <w:noProof/>
                <w:webHidden/>
              </w:rPr>
              <w:tab/>
            </w:r>
            <w:r w:rsidR="00DF4286">
              <w:rPr>
                <w:noProof/>
                <w:webHidden/>
              </w:rPr>
              <w:fldChar w:fldCharType="begin"/>
            </w:r>
            <w:r w:rsidR="00DF4286">
              <w:rPr>
                <w:noProof/>
                <w:webHidden/>
              </w:rPr>
              <w:instrText xml:space="preserve"> PAGEREF _Toc37834269 \h </w:instrText>
            </w:r>
            <w:r w:rsidR="00DF4286">
              <w:rPr>
                <w:noProof/>
                <w:webHidden/>
              </w:rPr>
            </w:r>
            <w:r w:rsidR="00DF4286">
              <w:rPr>
                <w:noProof/>
                <w:webHidden/>
              </w:rPr>
              <w:fldChar w:fldCharType="separate"/>
            </w:r>
            <w:r w:rsidR="00DF4286">
              <w:rPr>
                <w:noProof/>
                <w:webHidden/>
              </w:rPr>
              <w:t>22</w:t>
            </w:r>
            <w:r w:rsidR="00DF4286">
              <w:rPr>
                <w:noProof/>
                <w:webHidden/>
              </w:rPr>
              <w:fldChar w:fldCharType="end"/>
            </w:r>
          </w:hyperlink>
        </w:p>
        <w:p w14:paraId="24D9DDB6" w14:textId="4E2ACDB5" w:rsidR="00DF4286" w:rsidRDefault="000607E7">
          <w:pPr>
            <w:pStyle w:val="TDC1"/>
            <w:rPr>
              <w:rFonts w:eastAsiaTheme="minorEastAsia"/>
              <w:noProof/>
              <w:lang w:eastAsia="es-ES"/>
            </w:rPr>
          </w:pPr>
          <w:hyperlink w:anchor="_Toc37834270" w:history="1">
            <w:r w:rsidR="00DF4286" w:rsidRPr="00DD5D4D">
              <w:rPr>
                <w:rStyle w:val="Hipervnculo"/>
                <w:noProof/>
              </w:rPr>
              <w:t>12.</w:t>
            </w:r>
            <w:r w:rsidR="00DF4286">
              <w:rPr>
                <w:rFonts w:eastAsiaTheme="minorEastAsia"/>
                <w:noProof/>
                <w:lang w:eastAsia="es-ES"/>
              </w:rPr>
              <w:tab/>
            </w:r>
            <w:r w:rsidR="00DF4286" w:rsidRPr="00DD5D4D">
              <w:rPr>
                <w:rStyle w:val="Hipervnculo"/>
                <w:noProof/>
              </w:rPr>
              <w:t>Emisores de sonido para personas con problemas de visión</w:t>
            </w:r>
            <w:r w:rsidR="00DF4286">
              <w:rPr>
                <w:noProof/>
                <w:webHidden/>
              </w:rPr>
              <w:tab/>
            </w:r>
            <w:r w:rsidR="00DF4286">
              <w:rPr>
                <w:noProof/>
                <w:webHidden/>
              </w:rPr>
              <w:fldChar w:fldCharType="begin"/>
            </w:r>
            <w:r w:rsidR="00DF4286">
              <w:rPr>
                <w:noProof/>
                <w:webHidden/>
              </w:rPr>
              <w:instrText xml:space="preserve"> PAGEREF _Toc37834270 \h </w:instrText>
            </w:r>
            <w:r w:rsidR="00DF4286">
              <w:rPr>
                <w:noProof/>
                <w:webHidden/>
              </w:rPr>
            </w:r>
            <w:r w:rsidR="00DF4286">
              <w:rPr>
                <w:noProof/>
                <w:webHidden/>
              </w:rPr>
              <w:fldChar w:fldCharType="separate"/>
            </w:r>
            <w:r w:rsidR="00DF4286">
              <w:rPr>
                <w:noProof/>
                <w:webHidden/>
              </w:rPr>
              <w:t>22</w:t>
            </w:r>
            <w:r w:rsidR="00DF4286">
              <w:rPr>
                <w:noProof/>
                <w:webHidden/>
              </w:rPr>
              <w:fldChar w:fldCharType="end"/>
            </w:r>
          </w:hyperlink>
        </w:p>
        <w:p w14:paraId="551B4A62" w14:textId="45F16AFC" w:rsidR="00DF4286" w:rsidRDefault="000607E7">
          <w:pPr>
            <w:pStyle w:val="TDC1"/>
            <w:rPr>
              <w:rFonts w:eastAsiaTheme="minorEastAsia"/>
              <w:noProof/>
              <w:lang w:eastAsia="es-ES"/>
            </w:rPr>
          </w:pPr>
          <w:hyperlink w:anchor="_Toc37834271" w:history="1">
            <w:r w:rsidR="00DF4286" w:rsidRPr="00DD5D4D">
              <w:rPr>
                <w:rStyle w:val="Hipervnculo"/>
                <w:noProof/>
              </w:rPr>
              <w:t>13.</w:t>
            </w:r>
            <w:r w:rsidR="00DF4286">
              <w:rPr>
                <w:rFonts w:eastAsiaTheme="minorEastAsia"/>
                <w:noProof/>
                <w:lang w:eastAsia="es-ES"/>
              </w:rPr>
              <w:tab/>
            </w:r>
            <w:r w:rsidR="00DF4286" w:rsidRPr="00DD5D4D">
              <w:rPr>
                <w:rStyle w:val="Hipervnculo"/>
                <w:noProof/>
              </w:rPr>
              <w:t>Posibilidad de ofrecimiento de otros materiales, dimensiones o configuraciones</w:t>
            </w:r>
            <w:r w:rsidR="00DF4286">
              <w:rPr>
                <w:noProof/>
                <w:webHidden/>
              </w:rPr>
              <w:tab/>
            </w:r>
            <w:r w:rsidR="00DF4286">
              <w:rPr>
                <w:noProof/>
                <w:webHidden/>
              </w:rPr>
              <w:fldChar w:fldCharType="begin"/>
            </w:r>
            <w:r w:rsidR="00DF4286">
              <w:rPr>
                <w:noProof/>
                <w:webHidden/>
              </w:rPr>
              <w:instrText xml:space="preserve"> PAGEREF _Toc37834271 \h </w:instrText>
            </w:r>
            <w:r w:rsidR="00DF4286">
              <w:rPr>
                <w:noProof/>
                <w:webHidden/>
              </w:rPr>
            </w:r>
            <w:r w:rsidR="00DF4286">
              <w:rPr>
                <w:noProof/>
                <w:webHidden/>
              </w:rPr>
              <w:fldChar w:fldCharType="separate"/>
            </w:r>
            <w:r w:rsidR="00DF4286">
              <w:rPr>
                <w:noProof/>
                <w:webHidden/>
              </w:rPr>
              <w:t>22</w:t>
            </w:r>
            <w:r w:rsidR="00DF4286">
              <w:rPr>
                <w:noProof/>
                <w:webHidden/>
              </w:rPr>
              <w:fldChar w:fldCharType="end"/>
            </w:r>
          </w:hyperlink>
        </w:p>
        <w:p w14:paraId="13018572" w14:textId="0E975696" w:rsidR="00DF4286" w:rsidRDefault="000607E7">
          <w:pPr>
            <w:pStyle w:val="TDC1"/>
            <w:rPr>
              <w:rFonts w:eastAsiaTheme="minorEastAsia"/>
              <w:noProof/>
              <w:lang w:eastAsia="es-ES"/>
            </w:rPr>
          </w:pPr>
          <w:hyperlink w:anchor="_Toc37834272" w:history="1">
            <w:r w:rsidR="00DF4286" w:rsidRPr="00DD5D4D">
              <w:rPr>
                <w:rStyle w:val="Hipervnculo"/>
                <w:noProof/>
              </w:rPr>
              <w:t>14.</w:t>
            </w:r>
            <w:r w:rsidR="00DF4286">
              <w:rPr>
                <w:rFonts w:eastAsiaTheme="minorEastAsia"/>
                <w:noProof/>
                <w:lang w:eastAsia="es-ES"/>
              </w:rPr>
              <w:tab/>
            </w:r>
            <w:r w:rsidR="00DF4286" w:rsidRPr="00DD5D4D">
              <w:rPr>
                <w:rStyle w:val="Hipervnculo"/>
                <w:noProof/>
              </w:rPr>
              <w:t>Presentación de cotizaciones</w:t>
            </w:r>
            <w:r w:rsidR="00DF4286">
              <w:rPr>
                <w:noProof/>
                <w:webHidden/>
              </w:rPr>
              <w:tab/>
            </w:r>
            <w:r w:rsidR="00DF4286">
              <w:rPr>
                <w:noProof/>
                <w:webHidden/>
              </w:rPr>
              <w:fldChar w:fldCharType="begin"/>
            </w:r>
            <w:r w:rsidR="00DF4286">
              <w:rPr>
                <w:noProof/>
                <w:webHidden/>
              </w:rPr>
              <w:instrText xml:space="preserve"> PAGEREF _Toc37834272 \h </w:instrText>
            </w:r>
            <w:r w:rsidR="00DF4286">
              <w:rPr>
                <w:noProof/>
                <w:webHidden/>
              </w:rPr>
            </w:r>
            <w:r w:rsidR="00DF4286">
              <w:rPr>
                <w:noProof/>
                <w:webHidden/>
              </w:rPr>
              <w:fldChar w:fldCharType="separate"/>
            </w:r>
            <w:r w:rsidR="00DF4286">
              <w:rPr>
                <w:noProof/>
                <w:webHidden/>
              </w:rPr>
              <w:t>23</w:t>
            </w:r>
            <w:r w:rsidR="00DF4286">
              <w:rPr>
                <w:noProof/>
                <w:webHidden/>
              </w:rPr>
              <w:fldChar w:fldCharType="end"/>
            </w:r>
          </w:hyperlink>
        </w:p>
        <w:p w14:paraId="3C6912D9" w14:textId="5F6B9625" w:rsidR="00DF4286" w:rsidRDefault="000607E7">
          <w:pPr>
            <w:pStyle w:val="TDC1"/>
            <w:rPr>
              <w:rFonts w:eastAsiaTheme="minorEastAsia"/>
              <w:noProof/>
              <w:lang w:eastAsia="es-ES"/>
            </w:rPr>
          </w:pPr>
          <w:hyperlink w:anchor="_Toc37834273" w:history="1">
            <w:r w:rsidR="00DF4286" w:rsidRPr="00DD5D4D">
              <w:rPr>
                <w:rStyle w:val="Hipervnculo"/>
                <w:noProof/>
              </w:rPr>
              <w:t>15.</w:t>
            </w:r>
            <w:r w:rsidR="00DF4286">
              <w:rPr>
                <w:rFonts w:eastAsiaTheme="minorEastAsia"/>
                <w:noProof/>
                <w:lang w:eastAsia="es-ES"/>
              </w:rPr>
              <w:tab/>
            </w:r>
            <w:r w:rsidR="00DF4286" w:rsidRPr="00DD5D4D">
              <w:rPr>
                <w:rStyle w:val="Hipervnculo"/>
                <w:noProof/>
              </w:rPr>
              <w:t>Repuestos y mantenimiento</w:t>
            </w:r>
            <w:r w:rsidR="00DF4286">
              <w:rPr>
                <w:noProof/>
                <w:webHidden/>
              </w:rPr>
              <w:tab/>
            </w:r>
            <w:r w:rsidR="00DF4286">
              <w:rPr>
                <w:noProof/>
                <w:webHidden/>
              </w:rPr>
              <w:fldChar w:fldCharType="begin"/>
            </w:r>
            <w:r w:rsidR="00DF4286">
              <w:rPr>
                <w:noProof/>
                <w:webHidden/>
              </w:rPr>
              <w:instrText xml:space="preserve"> PAGEREF _Toc37834273 \h </w:instrText>
            </w:r>
            <w:r w:rsidR="00DF4286">
              <w:rPr>
                <w:noProof/>
                <w:webHidden/>
              </w:rPr>
            </w:r>
            <w:r w:rsidR="00DF4286">
              <w:rPr>
                <w:noProof/>
                <w:webHidden/>
              </w:rPr>
              <w:fldChar w:fldCharType="separate"/>
            </w:r>
            <w:r w:rsidR="00DF4286">
              <w:rPr>
                <w:noProof/>
                <w:webHidden/>
              </w:rPr>
              <w:t>23</w:t>
            </w:r>
            <w:r w:rsidR="00DF4286">
              <w:rPr>
                <w:noProof/>
                <w:webHidden/>
              </w:rPr>
              <w:fldChar w:fldCharType="end"/>
            </w:r>
          </w:hyperlink>
        </w:p>
        <w:p w14:paraId="32DD75B0" w14:textId="2604DDA9" w:rsidR="00C0116B" w:rsidRDefault="00C0116B">
          <w:r>
            <w:rPr>
              <w:b/>
              <w:bCs/>
            </w:rPr>
            <w:fldChar w:fldCharType="end"/>
          </w:r>
        </w:p>
      </w:sdtContent>
    </w:sdt>
    <w:p w14:paraId="07BDDCD6" w14:textId="77777777" w:rsidR="00C0116B" w:rsidRDefault="00C0116B" w:rsidP="00E84135">
      <w:pPr>
        <w:spacing w:line="360" w:lineRule="auto"/>
        <w:jc w:val="both"/>
        <w:rPr>
          <w:rFonts w:cstheme="minorHAnsi"/>
          <w:sz w:val="24"/>
          <w:szCs w:val="24"/>
        </w:rPr>
      </w:pPr>
    </w:p>
    <w:p w14:paraId="06088102" w14:textId="77777777" w:rsidR="00C0116B" w:rsidRDefault="00C0116B">
      <w:pPr>
        <w:rPr>
          <w:rFonts w:cstheme="minorHAnsi"/>
          <w:sz w:val="24"/>
          <w:szCs w:val="24"/>
        </w:rPr>
      </w:pPr>
      <w:r>
        <w:rPr>
          <w:rFonts w:cstheme="minorHAnsi"/>
          <w:sz w:val="24"/>
          <w:szCs w:val="24"/>
        </w:rPr>
        <w:br w:type="page"/>
      </w:r>
    </w:p>
    <w:p w14:paraId="5DC90F43" w14:textId="19CDC4ED" w:rsidR="00E84135" w:rsidRPr="00E84135" w:rsidRDefault="00E84135" w:rsidP="00E84135">
      <w:pPr>
        <w:spacing w:line="360" w:lineRule="auto"/>
        <w:jc w:val="both"/>
        <w:rPr>
          <w:rFonts w:cstheme="minorHAnsi"/>
          <w:sz w:val="24"/>
          <w:szCs w:val="24"/>
        </w:rPr>
      </w:pPr>
      <w:r w:rsidRPr="00E84135">
        <w:rPr>
          <w:rFonts w:cstheme="minorHAnsi"/>
          <w:sz w:val="24"/>
          <w:szCs w:val="24"/>
        </w:rPr>
        <w:lastRenderedPageBreak/>
        <w:t>Algunos aportes a pliego de condiciones particulares para licitación de provisión e instalación de semáforos</w:t>
      </w:r>
    </w:p>
    <w:p w14:paraId="055B565C" w14:textId="77777777" w:rsidR="00E84135" w:rsidRPr="00E84135" w:rsidRDefault="00E84135" w:rsidP="00E84135">
      <w:pPr>
        <w:spacing w:line="360" w:lineRule="auto"/>
        <w:jc w:val="both"/>
        <w:rPr>
          <w:rFonts w:cstheme="minorHAnsi"/>
          <w:sz w:val="24"/>
          <w:szCs w:val="24"/>
        </w:rPr>
      </w:pPr>
      <w:r w:rsidRPr="00E84135">
        <w:rPr>
          <w:rFonts w:cstheme="minorHAnsi"/>
          <w:sz w:val="24"/>
          <w:szCs w:val="24"/>
        </w:rPr>
        <w:t>Incluye aspectos sobre: suministro y colocación de equipos de señalamiento luminoso (semáforos completos sobre columnas), instalación subterránea (o aérea) (canalizaciones, cámaras, conductores y acometidas), incluyendo suministro de energía, descargas a tierra, repuestos y mantenimiento.</w:t>
      </w:r>
    </w:p>
    <w:p w14:paraId="1C0CB2CF" w14:textId="77777777" w:rsidR="00E84135" w:rsidRPr="00E84135" w:rsidRDefault="00E84135" w:rsidP="00E84135">
      <w:pPr>
        <w:spacing w:line="360" w:lineRule="auto"/>
        <w:jc w:val="both"/>
        <w:rPr>
          <w:rFonts w:cstheme="minorHAnsi"/>
          <w:sz w:val="24"/>
          <w:szCs w:val="24"/>
        </w:rPr>
      </w:pPr>
    </w:p>
    <w:p w14:paraId="2E346932" w14:textId="77777777" w:rsidR="00E84135" w:rsidRPr="00E84135" w:rsidRDefault="00E84135" w:rsidP="00E84135">
      <w:pPr>
        <w:spacing w:line="360" w:lineRule="auto"/>
        <w:jc w:val="both"/>
        <w:rPr>
          <w:rFonts w:cstheme="minorHAnsi"/>
          <w:sz w:val="24"/>
          <w:szCs w:val="24"/>
        </w:rPr>
      </w:pPr>
    </w:p>
    <w:p w14:paraId="2BB46D45" w14:textId="77777777" w:rsidR="00E84135" w:rsidRPr="00E84135" w:rsidRDefault="00E84135" w:rsidP="00E84135">
      <w:pPr>
        <w:spacing w:line="360" w:lineRule="auto"/>
        <w:jc w:val="both"/>
        <w:rPr>
          <w:rFonts w:cstheme="minorHAnsi"/>
          <w:sz w:val="24"/>
          <w:szCs w:val="24"/>
        </w:rPr>
      </w:pPr>
    </w:p>
    <w:p w14:paraId="43D0BC32" w14:textId="77777777" w:rsidR="00E84135" w:rsidRPr="00E84135" w:rsidRDefault="00E84135" w:rsidP="00E84135">
      <w:pPr>
        <w:spacing w:line="360" w:lineRule="auto"/>
        <w:jc w:val="both"/>
        <w:rPr>
          <w:rFonts w:cstheme="minorHAnsi"/>
          <w:sz w:val="24"/>
          <w:szCs w:val="24"/>
        </w:rPr>
      </w:pPr>
    </w:p>
    <w:p w14:paraId="39D0929F" w14:textId="77777777" w:rsidR="00E84135" w:rsidRPr="00E84135" w:rsidRDefault="00E84135" w:rsidP="00E84135">
      <w:pPr>
        <w:spacing w:line="360" w:lineRule="auto"/>
        <w:jc w:val="both"/>
        <w:rPr>
          <w:rFonts w:cstheme="minorHAnsi"/>
          <w:sz w:val="24"/>
          <w:szCs w:val="24"/>
        </w:rPr>
      </w:pPr>
      <w:r w:rsidRPr="00E84135">
        <w:rPr>
          <w:rFonts w:cstheme="minorHAnsi"/>
          <w:sz w:val="24"/>
          <w:szCs w:val="24"/>
        </w:rPr>
        <w:t xml:space="preserve">Referencias: </w:t>
      </w:r>
    </w:p>
    <w:p w14:paraId="1195AA0B" w14:textId="77777777" w:rsidR="00E84135" w:rsidRPr="00E84135" w:rsidRDefault="00E84135" w:rsidP="00E84135">
      <w:pPr>
        <w:spacing w:line="360" w:lineRule="auto"/>
        <w:jc w:val="both"/>
        <w:rPr>
          <w:rFonts w:cstheme="minorHAnsi"/>
          <w:sz w:val="24"/>
          <w:szCs w:val="24"/>
        </w:rPr>
      </w:pPr>
      <w:r w:rsidRPr="00E84135">
        <w:rPr>
          <w:rFonts w:cstheme="minorHAnsi"/>
          <w:sz w:val="24"/>
          <w:szCs w:val="24"/>
        </w:rPr>
        <w:t>Contratista – empresa oferente.</w:t>
      </w:r>
    </w:p>
    <w:p w14:paraId="35A91807" w14:textId="77777777" w:rsidR="00E84135" w:rsidRPr="00E84135" w:rsidRDefault="00E84135" w:rsidP="00E84135">
      <w:pPr>
        <w:spacing w:line="360" w:lineRule="auto"/>
        <w:jc w:val="both"/>
        <w:rPr>
          <w:rFonts w:cstheme="minorHAnsi"/>
          <w:sz w:val="24"/>
          <w:szCs w:val="24"/>
        </w:rPr>
      </w:pPr>
      <w:r w:rsidRPr="00E84135">
        <w:rPr>
          <w:rFonts w:cstheme="minorHAnsi"/>
          <w:sz w:val="24"/>
          <w:szCs w:val="24"/>
        </w:rPr>
        <w:t>DO – Dirección de Obra, definida por la Intendencia, encargada de indicar detalles y controlar cumplimiento de pliego (materiales y actividades, entre otros) por parte de la empresa oferente.</w:t>
      </w:r>
    </w:p>
    <w:p w14:paraId="330B8894" w14:textId="0E8AEE14" w:rsidR="002366EC" w:rsidRDefault="00E84135" w:rsidP="00E84135">
      <w:pPr>
        <w:spacing w:line="360" w:lineRule="auto"/>
        <w:jc w:val="both"/>
        <w:rPr>
          <w:rFonts w:cstheme="minorHAnsi"/>
          <w:sz w:val="24"/>
          <w:szCs w:val="24"/>
        </w:rPr>
      </w:pPr>
      <w:r w:rsidRPr="00E84135">
        <w:rPr>
          <w:rFonts w:cstheme="minorHAnsi"/>
          <w:sz w:val="24"/>
          <w:szCs w:val="24"/>
        </w:rPr>
        <w:t>Contratante, Administración – Intendencia departamental</w:t>
      </w:r>
    </w:p>
    <w:p w14:paraId="02DC32B6" w14:textId="77777777" w:rsidR="002366EC" w:rsidRDefault="002366EC">
      <w:pPr>
        <w:rPr>
          <w:rFonts w:cstheme="minorHAnsi"/>
          <w:sz w:val="24"/>
          <w:szCs w:val="24"/>
        </w:rPr>
      </w:pPr>
      <w:r>
        <w:rPr>
          <w:rFonts w:cstheme="minorHAnsi"/>
          <w:sz w:val="24"/>
          <w:szCs w:val="24"/>
        </w:rPr>
        <w:br w:type="page"/>
      </w:r>
    </w:p>
    <w:p w14:paraId="2FF2D8D3" w14:textId="12DACE9F" w:rsidR="00E84135" w:rsidRPr="00E84135" w:rsidRDefault="00E84135" w:rsidP="00E84135">
      <w:pPr>
        <w:pStyle w:val="Ttulo1"/>
      </w:pPr>
      <w:bookmarkStart w:id="1" w:name="_Toc37834238"/>
      <w:r w:rsidRPr="00E84135">
        <w:lastRenderedPageBreak/>
        <w:t>Preparación del terreno</w:t>
      </w:r>
      <w:bookmarkEnd w:id="1"/>
    </w:p>
    <w:p w14:paraId="1274D8E4" w14:textId="77777777" w:rsidR="00E84135" w:rsidRPr="00E84135" w:rsidRDefault="00E84135" w:rsidP="00E84135">
      <w:pPr>
        <w:spacing w:line="360" w:lineRule="auto"/>
        <w:jc w:val="both"/>
        <w:rPr>
          <w:rFonts w:cstheme="minorHAnsi"/>
          <w:sz w:val="24"/>
          <w:szCs w:val="24"/>
        </w:rPr>
      </w:pPr>
      <w:r w:rsidRPr="00E84135">
        <w:rPr>
          <w:rFonts w:cstheme="minorHAnsi"/>
          <w:sz w:val="24"/>
          <w:szCs w:val="24"/>
        </w:rPr>
        <w:t>Se demolerá y/o retirará todo obstáculo que hubiere en el terreno donde se construya alguna parte de la obra. Esto comprende, entre otros: señales viales, carteles de otra índole y caños o columnas, obsoletos, fuera de norma o dañados, los árboles y sus raíces cuando su presencia perturbe la correcta ejecución del trabajo o pueda afectar a la obra en un futuro y/o afecte la visibilidad de los elementos a instalar. Las demás plantaciones deberán ser cuidadosamente respetadas. Se deberá limpiar las zonas a intervenir. Esto no será objeto de pago directo, sino que será prorrateado en los demás rubros. Esta actividad se acordará previamente y se coordinará con la DO.</w:t>
      </w:r>
    </w:p>
    <w:p w14:paraId="27B16C2F" w14:textId="7583E982" w:rsidR="00E84135" w:rsidRPr="00E84135" w:rsidRDefault="00E84135" w:rsidP="00E84135">
      <w:pPr>
        <w:pStyle w:val="Ttulo1"/>
      </w:pPr>
      <w:bookmarkStart w:id="2" w:name="_Toc37834239"/>
      <w:r w:rsidRPr="00E84135">
        <w:t>Condiciones generales</w:t>
      </w:r>
      <w:bookmarkEnd w:id="2"/>
      <w:r w:rsidR="002366EC">
        <w:t xml:space="preserve"> </w:t>
      </w:r>
    </w:p>
    <w:p w14:paraId="069FE765" w14:textId="58FFAF7C" w:rsidR="002366EC" w:rsidRPr="00E84135" w:rsidRDefault="002366EC" w:rsidP="002366EC">
      <w:pPr>
        <w:spacing w:line="360" w:lineRule="auto"/>
        <w:jc w:val="both"/>
        <w:rPr>
          <w:rFonts w:cstheme="minorHAnsi"/>
          <w:sz w:val="24"/>
          <w:szCs w:val="24"/>
        </w:rPr>
      </w:pPr>
      <w:r w:rsidRPr="00E84135">
        <w:rPr>
          <w:rFonts w:cstheme="minorHAnsi"/>
          <w:sz w:val="24"/>
          <w:szCs w:val="24"/>
        </w:rPr>
        <w:t>Las características generales de los semáforos serán las indicadas en el Manual Interamericano de Dispositivos para el Control del Tránsito en Calles y Carreteras y/o las contenidas en el presente pliego. En caso de diferencias, se atenderá a lo que indique la DO.</w:t>
      </w:r>
    </w:p>
    <w:p w14:paraId="3F7CB8ED" w14:textId="77777777" w:rsidR="002366EC" w:rsidRPr="00E84135" w:rsidRDefault="002366EC" w:rsidP="002366EC">
      <w:pPr>
        <w:spacing w:line="360" w:lineRule="auto"/>
        <w:jc w:val="both"/>
        <w:rPr>
          <w:rFonts w:cstheme="minorHAnsi"/>
          <w:sz w:val="24"/>
          <w:szCs w:val="24"/>
        </w:rPr>
      </w:pPr>
      <w:r w:rsidRPr="00E84135">
        <w:rPr>
          <w:rFonts w:cstheme="minorHAnsi"/>
          <w:sz w:val="24"/>
          <w:szCs w:val="24"/>
        </w:rPr>
        <w:t>Al tratarse de una instalación eléctrica deberá ajustarse a todas las normas que sean pertinentes con las debidas autorizaciones y coordinaciones con los demás organismos (y áreas específicas) con competencia en vía pública (U.T.E., Intendencia de Tacuarembó, etcétera) y, que de una forma u otra puedan verse afectados/alcanzados por esta y demás implicaciones con propiedades privadas en la zona de trabajo.</w:t>
      </w:r>
    </w:p>
    <w:p w14:paraId="78614474" w14:textId="77777777" w:rsidR="002366EC" w:rsidRPr="00E84135" w:rsidRDefault="002366EC" w:rsidP="002366EC">
      <w:pPr>
        <w:spacing w:line="360" w:lineRule="auto"/>
        <w:jc w:val="both"/>
        <w:rPr>
          <w:rFonts w:cstheme="minorHAnsi"/>
          <w:sz w:val="24"/>
          <w:szCs w:val="24"/>
        </w:rPr>
      </w:pPr>
      <w:r w:rsidRPr="00E84135">
        <w:rPr>
          <w:rFonts w:cstheme="minorHAnsi"/>
          <w:sz w:val="24"/>
          <w:szCs w:val="24"/>
        </w:rPr>
        <w:t>Se deberán indicar las normas de calidad a las que se ajusta lo ofrecido (UNIT, IRAM u otras MERCOSUR, EN).</w:t>
      </w:r>
    </w:p>
    <w:p w14:paraId="5C901A3E" w14:textId="77777777" w:rsidR="00E84135" w:rsidRPr="00E84135" w:rsidRDefault="00E84135" w:rsidP="00E84135">
      <w:pPr>
        <w:spacing w:line="360" w:lineRule="auto"/>
        <w:jc w:val="both"/>
        <w:rPr>
          <w:rFonts w:cstheme="minorHAnsi"/>
          <w:sz w:val="24"/>
          <w:szCs w:val="24"/>
        </w:rPr>
      </w:pPr>
      <w:r w:rsidRPr="00E84135">
        <w:rPr>
          <w:rFonts w:cstheme="minorHAnsi"/>
          <w:sz w:val="24"/>
          <w:szCs w:val="24"/>
        </w:rPr>
        <w:t xml:space="preserve">Todos los elementos utilizados deberán contar con la adecuada protección para condiciones de intemperie. </w:t>
      </w:r>
    </w:p>
    <w:p w14:paraId="35665655" w14:textId="3E82498F" w:rsidR="00E84135" w:rsidRPr="00E84135" w:rsidRDefault="00E84135" w:rsidP="00E84135">
      <w:pPr>
        <w:spacing w:line="360" w:lineRule="auto"/>
        <w:jc w:val="both"/>
        <w:rPr>
          <w:rFonts w:cstheme="minorHAnsi"/>
          <w:sz w:val="24"/>
          <w:szCs w:val="24"/>
        </w:rPr>
      </w:pPr>
      <w:r w:rsidRPr="00E84135">
        <w:rPr>
          <w:rFonts w:cstheme="minorHAnsi"/>
          <w:sz w:val="24"/>
          <w:szCs w:val="24"/>
        </w:rPr>
        <w:t xml:space="preserve">Los elementos metálicos expuestos (columnas, soportes, etcétera), deberán estar protegidos por un tratamiento anticorrosivo, </w:t>
      </w:r>
      <w:r>
        <w:rPr>
          <w:rFonts w:cstheme="minorHAnsi"/>
          <w:sz w:val="24"/>
          <w:szCs w:val="24"/>
        </w:rPr>
        <w:t>comenzando con l</w:t>
      </w:r>
      <w:r w:rsidRPr="00E84135">
        <w:rPr>
          <w:rFonts w:cstheme="minorHAnsi"/>
          <w:sz w:val="24"/>
          <w:szCs w:val="24"/>
        </w:rPr>
        <w:t>impieza de óxidos, grasa, inclusiones, etcétera, por el método que se estime más conveniente.</w:t>
      </w:r>
    </w:p>
    <w:p w14:paraId="17FF915A" w14:textId="4B65C0FD" w:rsidR="00E84135" w:rsidRPr="00E84135" w:rsidRDefault="00E84135" w:rsidP="00E84135">
      <w:pPr>
        <w:spacing w:line="360" w:lineRule="auto"/>
        <w:jc w:val="both"/>
        <w:rPr>
          <w:rFonts w:cstheme="minorHAnsi"/>
          <w:sz w:val="24"/>
          <w:szCs w:val="24"/>
        </w:rPr>
      </w:pPr>
      <w:r w:rsidRPr="00E84135">
        <w:rPr>
          <w:rFonts w:cstheme="minorHAnsi"/>
          <w:sz w:val="24"/>
          <w:szCs w:val="24"/>
        </w:rPr>
        <w:t xml:space="preserve">Las columnas metálicas deberán ser galvanizadas y pintadas. El galvanizado podrá ser en caliente o electrolítico. La pintura podrá ser aplicada por electro deposición o por métodos manuales. De utilizarse esto últimos se aplicará un esquema de tres capas. La primera será fondo (especial para aplicar sobre galvanizado "washprimer"), la segunda </w:t>
      </w:r>
      <w:r w:rsidRPr="00E84135">
        <w:rPr>
          <w:rFonts w:cstheme="minorHAnsi"/>
          <w:sz w:val="24"/>
          <w:szCs w:val="24"/>
        </w:rPr>
        <w:lastRenderedPageBreak/>
        <w:t>de fondo epoxi cromato de zinc y la tercera de pintura epoxídica. El espesor total (galvanizado y pintura) del recubrimiento tendrá un mínimo de 150 micras.</w:t>
      </w:r>
    </w:p>
    <w:p w14:paraId="4277F872" w14:textId="4511D8D1" w:rsidR="00E84135" w:rsidRPr="00E84135" w:rsidRDefault="00E84135" w:rsidP="00E84135">
      <w:pPr>
        <w:spacing w:line="360" w:lineRule="auto"/>
        <w:jc w:val="both"/>
        <w:rPr>
          <w:rFonts w:cstheme="minorHAnsi"/>
          <w:sz w:val="24"/>
          <w:szCs w:val="24"/>
        </w:rPr>
      </w:pPr>
      <w:r w:rsidRPr="00E84135">
        <w:rPr>
          <w:rFonts w:cstheme="minorHAnsi"/>
          <w:sz w:val="24"/>
          <w:szCs w:val="24"/>
        </w:rPr>
        <w:t>Al tramo de las columnas que va empotrado se darán dos manos de pintura asfáltica anticorrosiva, la que también se dará por dentro, en lugar del tratamiento general antes mencionado.</w:t>
      </w:r>
    </w:p>
    <w:p w14:paraId="0F830396" w14:textId="77777777" w:rsidR="00E84135" w:rsidRPr="00E84135" w:rsidRDefault="00E84135" w:rsidP="00E84135">
      <w:pPr>
        <w:spacing w:line="360" w:lineRule="auto"/>
        <w:jc w:val="both"/>
        <w:rPr>
          <w:rFonts w:cstheme="minorHAnsi"/>
          <w:sz w:val="24"/>
          <w:szCs w:val="24"/>
        </w:rPr>
      </w:pPr>
      <w:r w:rsidRPr="00E84135">
        <w:rPr>
          <w:rFonts w:cstheme="minorHAnsi"/>
          <w:sz w:val="24"/>
          <w:szCs w:val="24"/>
        </w:rPr>
        <w:t>La Administración se reserva el derecho de aprobar estos materiales previa inspección.</w:t>
      </w:r>
    </w:p>
    <w:p w14:paraId="302D40A0" w14:textId="77777777" w:rsidR="00E84135" w:rsidRPr="00E84135" w:rsidRDefault="00E84135" w:rsidP="00E84135">
      <w:pPr>
        <w:spacing w:line="360" w:lineRule="auto"/>
        <w:jc w:val="both"/>
        <w:rPr>
          <w:rFonts w:cstheme="minorHAnsi"/>
          <w:sz w:val="24"/>
          <w:szCs w:val="24"/>
        </w:rPr>
      </w:pPr>
      <w:r w:rsidRPr="00E84135">
        <w:rPr>
          <w:rFonts w:cstheme="minorHAnsi"/>
          <w:sz w:val="24"/>
          <w:szCs w:val="24"/>
        </w:rPr>
        <w:t xml:space="preserve">Los elementos pintados deberán soportar un ensayo acelerado de envejecimiento que equivalga a una exposición de siete años a la intemperie. Luego de este ensayo acelerado, las probetas mostrarán una pérdida de brillo, de color y un tizado razonable, admitiéndose un cuarteado visible a lupa que afecte solamente a la capa superior del esmalte. No serán admisibles oxidaciones, escamados, ampollados o grietas que afecten a los elementos pintados. No se admitirá el crecimiento de moho, ni aún en lugares húmedos y poco soleados; tanto el pigmento como la base serán adecuados para usar a la intemperie sin decoloración apreciable, no-degradación, tizado, etcétera, en un lapso de por lo menos tres años. </w:t>
      </w:r>
    </w:p>
    <w:p w14:paraId="5314F744" w14:textId="0C819356" w:rsidR="00E84135" w:rsidRPr="00E84135" w:rsidRDefault="00E84135" w:rsidP="00E84135">
      <w:pPr>
        <w:pStyle w:val="Ttulo1"/>
      </w:pPr>
      <w:bookmarkStart w:id="3" w:name="_Toc37834240"/>
      <w:r w:rsidRPr="00E84135">
        <w:t>Columnas</w:t>
      </w:r>
      <w:bookmarkEnd w:id="3"/>
      <w:r w:rsidRPr="00E84135">
        <w:t xml:space="preserve"> </w:t>
      </w:r>
    </w:p>
    <w:p w14:paraId="665ECDEF" w14:textId="77777777" w:rsidR="00E84135" w:rsidRPr="00E84135" w:rsidRDefault="00E84135" w:rsidP="00E84135">
      <w:pPr>
        <w:spacing w:line="360" w:lineRule="auto"/>
        <w:jc w:val="both"/>
        <w:rPr>
          <w:rFonts w:cstheme="minorHAnsi"/>
          <w:sz w:val="24"/>
          <w:szCs w:val="24"/>
        </w:rPr>
      </w:pPr>
      <w:r w:rsidRPr="00E84135">
        <w:rPr>
          <w:rFonts w:cstheme="minorHAnsi"/>
          <w:sz w:val="24"/>
          <w:szCs w:val="24"/>
        </w:rPr>
        <w:t xml:space="preserve">Los cuerpos a instalarse en la parte recta de la columna estarán a 2,40 m desde el nivel de terreno hasta la parte inferior de los mismos. Las columnas serán tubulares de caño de hierro o acero, constituidas por tubos sin costura. Dos opciones: de una sola pieza o de distinto diámetro y soldados entre sí. </w:t>
      </w:r>
    </w:p>
    <w:p w14:paraId="5E0F28AF" w14:textId="77777777" w:rsidR="00E84135" w:rsidRPr="00E84135" w:rsidRDefault="00E84135" w:rsidP="00E84135">
      <w:pPr>
        <w:spacing w:line="360" w:lineRule="auto"/>
        <w:jc w:val="both"/>
        <w:rPr>
          <w:rFonts w:cstheme="minorHAnsi"/>
          <w:sz w:val="24"/>
          <w:szCs w:val="24"/>
        </w:rPr>
      </w:pPr>
      <w:r w:rsidRPr="00E84135">
        <w:rPr>
          <w:rFonts w:cstheme="minorHAnsi"/>
          <w:sz w:val="24"/>
          <w:szCs w:val="24"/>
        </w:rPr>
        <w:t>En el caso de pescante, el largo del tramo horizontal será tal que los semáforos ubicados en él, queden en la mitad de la senda correspondiente, con una correcta visión desde cualquier punto de la calzada a la que sirve. La altura desde la parte inferior del cabezal hasta el pavimento será de cinco metros, como mínimo. Se admitirán columnas articuladas con unión doble abulonada con platina entre brazo y tramo vertical.</w:t>
      </w:r>
    </w:p>
    <w:p w14:paraId="069899C5" w14:textId="77777777" w:rsidR="00E84135" w:rsidRPr="00E84135" w:rsidRDefault="00E84135" w:rsidP="00E84135">
      <w:pPr>
        <w:spacing w:line="360" w:lineRule="auto"/>
        <w:jc w:val="both"/>
        <w:rPr>
          <w:rFonts w:cstheme="minorHAnsi"/>
          <w:sz w:val="24"/>
          <w:szCs w:val="24"/>
        </w:rPr>
      </w:pPr>
      <w:r w:rsidRPr="00E84135">
        <w:rPr>
          <w:rFonts w:cstheme="minorHAnsi"/>
          <w:sz w:val="24"/>
          <w:szCs w:val="24"/>
        </w:rPr>
        <w:t xml:space="preserve">En caso de ser necesario tendrán un tapón en la parte superior de un material inoxidable para evitar la entrada de agua (plástico, goma anti UV, etcétera). </w:t>
      </w:r>
    </w:p>
    <w:p w14:paraId="274FC607" w14:textId="77777777" w:rsidR="00E84135" w:rsidRPr="00E84135" w:rsidRDefault="00E84135" w:rsidP="00E84135">
      <w:pPr>
        <w:spacing w:line="360" w:lineRule="auto"/>
        <w:jc w:val="both"/>
        <w:rPr>
          <w:rFonts w:cstheme="minorHAnsi"/>
          <w:sz w:val="24"/>
          <w:szCs w:val="24"/>
        </w:rPr>
      </w:pPr>
      <w:r w:rsidRPr="00E84135">
        <w:rPr>
          <w:rFonts w:cstheme="minorHAnsi"/>
          <w:sz w:val="24"/>
          <w:szCs w:val="24"/>
        </w:rPr>
        <w:t xml:space="preserve">Las columnas, sus fundaciones, todos los soportes y agarres se calcularán para un viento soplando en un solo sentido, de 150 km/h, en las condiciones indicadas en la norma </w:t>
      </w:r>
      <w:r w:rsidRPr="00E84135">
        <w:rPr>
          <w:rFonts w:cstheme="minorHAnsi"/>
          <w:sz w:val="24"/>
          <w:szCs w:val="24"/>
        </w:rPr>
        <w:lastRenderedPageBreak/>
        <w:t>UNIT N°50-84 (revisión 2). El oferente presentará los cálculos de resistencia correspondientes.</w:t>
      </w:r>
    </w:p>
    <w:p w14:paraId="69E0541E" w14:textId="132DF744" w:rsidR="00E84135" w:rsidRDefault="00E84135" w:rsidP="00E84135">
      <w:pPr>
        <w:spacing w:line="360" w:lineRule="auto"/>
        <w:jc w:val="both"/>
        <w:rPr>
          <w:rFonts w:cstheme="minorHAnsi"/>
          <w:sz w:val="24"/>
          <w:szCs w:val="24"/>
        </w:rPr>
      </w:pPr>
      <w:r w:rsidRPr="00E84135">
        <w:rPr>
          <w:rFonts w:cstheme="minorHAnsi"/>
          <w:sz w:val="24"/>
          <w:szCs w:val="24"/>
        </w:rPr>
        <w:t>Estarán pintadas con dos manos de esmalte sintético, en forma de franjas horizontales de aproximadamente de 40 cm, negras y blancas, luego de instaladas en su lugar definitivo, hasta una altura de dos metros. Los restantes tramos serán de color gris. Las soldaduras no serán visibles una vez pintadas.</w:t>
      </w:r>
    </w:p>
    <w:p w14:paraId="1E97A5EE" w14:textId="77777777" w:rsidR="002112EF" w:rsidRDefault="002112EF" w:rsidP="002112EF">
      <w:pPr>
        <w:spacing w:line="360" w:lineRule="auto"/>
        <w:jc w:val="both"/>
        <w:rPr>
          <w:rFonts w:cstheme="minorHAnsi"/>
          <w:sz w:val="24"/>
          <w:szCs w:val="24"/>
        </w:rPr>
      </w:pPr>
      <w:r w:rsidRPr="00E84135">
        <w:rPr>
          <w:rFonts w:cstheme="minorHAnsi"/>
          <w:sz w:val="24"/>
          <w:szCs w:val="24"/>
        </w:rPr>
        <w:t>Las acometidas se harán por cañerías de PVC o polietileno interior integradas a las mismas.</w:t>
      </w:r>
      <w:r>
        <w:rPr>
          <w:rFonts w:cstheme="minorHAnsi"/>
          <w:sz w:val="24"/>
          <w:szCs w:val="24"/>
        </w:rPr>
        <w:t xml:space="preserve"> </w:t>
      </w:r>
    </w:p>
    <w:p w14:paraId="5E07EE45" w14:textId="596EC53D" w:rsidR="00E84135" w:rsidRPr="002112EF" w:rsidRDefault="00E84135" w:rsidP="002112EF">
      <w:pPr>
        <w:pStyle w:val="Ttulo2"/>
      </w:pPr>
      <w:bookmarkStart w:id="4" w:name="_Toc37834241"/>
      <w:r w:rsidRPr="002112EF">
        <w:t>Fundación de columnas</w:t>
      </w:r>
      <w:bookmarkEnd w:id="4"/>
    </w:p>
    <w:p w14:paraId="714CB211" w14:textId="77777777" w:rsidR="00E84135" w:rsidRPr="00E84135" w:rsidRDefault="00E84135" w:rsidP="00E84135">
      <w:pPr>
        <w:spacing w:line="360" w:lineRule="auto"/>
        <w:jc w:val="both"/>
        <w:rPr>
          <w:rFonts w:cstheme="minorHAnsi"/>
          <w:sz w:val="24"/>
          <w:szCs w:val="24"/>
        </w:rPr>
      </w:pPr>
      <w:r w:rsidRPr="00E84135">
        <w:rPr>
          <w:rFonts w:cstheme="minorHAnsi"/>
          <w:sz w:val="24"/>
          <w:szCs w:val="24"/>
        </w:rPr>
        <w:t xml:space="preserve">El empotramiento se colocará de tal forma que se pueda colocar o retirar la columna sin necesidad de romper el dado de fundación, permitiendo así la fácil reposición en caso necesario. Se podrá colocar columnas con bulones a una platina fija al dado o presentar otras soluciones que permitan el recambio de estas en caso de incidentes viales. Se deberá presentar los cálculos de la opción elegida. El hormigón a utilizar en las fundaciones será clase IX según el pliego de condiciones generales para la construcción de obras públicas y las dimensiones de las mismas surgirán del proyecto que presentará el contratista previo a la instalación. </w:t>
      </w:r>
    </w:p>
    <w:p w14:paraId="265830AF" w14:textId="22D0C0AB" w:rsidR="00E84135" w:rsidRPr="00E84135" w:rsidRDefault="00E84135" w:rsidP="002112EF">
      <w:pPr>
        <w:pStyle w:val="Ttulo1"/>
      </w:pPr>
      <w:bookmarkStart w:id="5" w:name="_Toc37834242"/>
      <w:r w:rsidRPr="00E84135">
        <w:t>Cuerpos de semáforos</w:t>
      </w:r>
      <w:bookmarkEnd w:id="5"/>
    </w:p>
    <w:p w14:paraId="205082D1" w14:textId="56192F18" w:rsidR="00E84135" w:rsidRPr="00E84135" w:rsidRDefault="00E84135" w:rsidP="002112EF">
      <w:pPr>
        <w:pStyle w:val="Ttulo2"/>
      </w:pPr>
      <w:bookmarkStart w:id="6" w:name="_Toc37834243"/>
      <w:r w:rsidRPr="00E84135">
        <w:t>Tipo y materiales</w:t>
      </w:r>
      <w:bookmarkEnd w:id="6"/>
    </w:p>
    <w:p w14:paraId="4BB74C37" w14:textId="77777777" w:rsidR="00E84135" w:rsidRPr="00E84135" w:rsidRDefault="00E84135" w:rsidP="00E84135">
      <w:pPr>
        <w:spacing w:line="360" w:lineRule="auto"/>
        <w:jc w:val="both"/>
        <w:rPr>
          <w:rFonts w:cstheme="minorHAnsi"/>
          <w:sz w:val="24"/>
          <w:szCs w:val="24"/>
        </w:rPr>
      </w:pPr>
      <w:r w:rsidRPr="00E84135">
        <w:rPr>
          <w:rFonts w:cstheme="minorHAnsi"/>
          <w:sz w:val="24"/>
          <w:szCs w:val="24"/>
        </w:rPr>
        <w:t xml:space="preserve">Los artefactos serán de tipo seccional, de 30 o 20 cm de diámetro (o cuadrados de 20 cm de lado), y se instalarán en las cantidades, ubicaciones y orientaciones dadas en el proyecto, pudiendo ser rectificadas en el replanteo de obra o en pruebas finales. Serán para instalar lámparas de leds. </w:t>
      </w:r>
    </w:p>
    <w:p w14:paraId="51F3ADF9" w14:textId="77777777" w:rsidR="00E84135" w:rsidRPr="00E84135" w:rsidRDefault="00E84135" w:rsidP="00E84135">
      <w:pPr>
        <w:spacing w:line="360" w:lineRule="auto"/>
        <w:jc w:val="both"/>
        <w:rPr>
          <w:rFonts w:cstheme="minorHAnsi"/>
          <w:sz w:val="24"/>
          <w:szCs w:val="24"/>
        </w:rPr>
      </w:pPr>
      <w:r w:rsidRPr="00E84135">
        <w:rPr>
          <w:rFonts w:cstheme="minorHAnsi"/>
          <w:sz w:val="24"/>
          <w:szCs w:val="24"/>
        </w:rPr>
        <w:t>Los cuerpos serán de policarbonato con protección contra la radiación UV (especial para intemperie, que no envejezca). Estará exento de poros visibles, roturas, rebarbas u otras imperfecciones y mostrará una superficie lisa o de graneado fino uniforme. Con ese tipo de material se construirán las secciones del cuerpo principal, puertas, lentes y viseras. Cada sección comprenderá una fuente luminosa eléctrica con sistema óptico. Los artefactos se deberán suministrar en color amarillo, siendo este color incluido en el policarbonato inyectado.</w:t>
      </w:r>
    </w:p>
    <w:p w14:paraId="0C661B0D" w14:textId="77777777" w:rsidR="00E84135" w:rsidRPr="00E84135" w:rsidRDefault="00E84135" w:rsidP="00E84135">
      <w:pPr>
        <w:spacing w:line="360" w:lineRule="auto"/>
        <w:jc w:val="both"/>
        <w:rPr>
          <w:rFonts w:cstheme="minorHAnsi"/>
          <w:sz w:val="24"/>
          <w:szCs w:val="24"/>
        </w:rPr>
      </w:pPr>
      <w:r w:rsidRPr="00E84135">
        <w:rPr>
          <w:rFonts w:cstheme="minorHAnsi"/>
          <w:sz w:val="24"/>
          <w:szCs w:val="24"/>
        </w:rPr>
        <w:lastRenderedPageBreak/>
        <w:t>La parte superior o inferior de la sección estará en condiciones de ser unida a los acoplamientos de soportes o columnas por medio de elementos de fijación adecuados. Estas uniones deben ser tales que permitan orientar los semáforos, manteniendo su hermeticidad y el paso de los conductores.</w:t>
      </w:r>
    </w:p>
    <w:p w14:paraId="44288349" w14:textId="77777777" w:rsidR="00E84135" w:rsidRPr="00E84135" w:rsidRDefault="00E84135" w:rsidP="00E84135">
      <w:pPr>
        <w:spacing w:line="360" w:lineRule="auto"/>
        <w:jc w:val="both"/>
        <w:rPr>
          <w:rFonts w:cstheme="minorHAnsi"/>
          <w:sz w:val="24"/>
          <w:szCs w:val="24"/>
        </w:rPr>
      </w:pPr>
      <w:r w:rsidRPr="00E84135">
        <w:rPr>
          <w:rFonts w:cstheme="minorHAnsi"/>
          <w:sz w:val="24"/>
          <w:szCs w:val="24"/>
        </w:rPr>
        <w:t>Las puertas deben ser de una sola pieza, de los materiales y características indicados en el inciso anterior. Deben estar convenientemente engoznadas y quedar firmemente adosadas contra la cara de su respectiva sección, por medio de dispositivos de cierre constituidos con materiales inoxidables.</w:t>
      </w:r>
    </w:p>
    <w:p w14:paraId="61415EE2" w14:textId="77777777" w:rsidR="00E84135" w:rsidRPr="00E84135" w:rsidRDefault="00E84135" w:rsidP="00E84135">
      <w:pPr>
        <w:spacing w:line="360" w:lineRule="auto"/>
        <w:jc w:val="both"/>
        <w:rPr>
          <w:rFonts w:cstheme="minorHAnsi"/>
          <w:sz w:val="24"/>
          <w:szCs w:val="24"/>
        </w:rPr>
      </w:pPr>
      <w:r w:rsidRPr="00E84135">
        <w:rPr>
          <w:rFonts w:cstheme="minorHAnsi"/>
          <w:sz w:val="24"/>
          <w:szCs w:val="24"/>
        </w:rPr>
        <w:t>Las “viseras” tipo túnel (circunferencia de cerramiento no inferior al 80% del total) deben ser diseñadas adecuadamente para reducir al mínimo la acción del sol sobre el sistema óptico, sin afectar la visibilidad de la señal luminosa. Las mismas deberán ser fijadas a las puertas mediante tornillos autorroscantes o similares. Deberán estar pintadas en su interior de color negro mate.</w:t>
      </w:r>
    </w:p>
    <w:p w14:paraId="23E1FC5D" w14:textId="77777777" w:rsidR="00E84135" w:rsidRPr="00E84135" w:rsidRDefault="00E84135" w:rsidP="00E84135">
      <w:pPr>
        <w:spacing w:line="360" w:lineRule="auto"/>
        <w:jc w:val="both"/>
        <w:rPr>
          <w:rFonts w:cstheme="minorHAnsi"/>
          <w:sz w:val="24"/>
          <w:szCs w:val="24"/>
        </w:rPr>
      </w:pPr>
      <w:r w:rsidRPr="00E84135">
        <w:rPr>
          <w:rFonts w:cstheme="minorHAnsi"/>
          <w:sz w:val="24"/>
          <w:szCs w:val="24"/>
        </w:rPr>
        <w:t>En la instalación se preverá el agregado de un fondo oscuro en eventuales cuerpos a colocarse en pescante, de modo de evitar la falta de visión de las señales que se produce cuando el fondo (cielo soleado) tiene una luminancia elevada.</w:t>
      </w:r>
    </w:p>
    <w:p w14:paraId="2F9B43B8" w14:textId="77777777" w:rsidR="00E84135" w:rsidRPr="00E84135" w:rsidRDefault="00E84135" w:rsidP="00E84135">
      <w:pPr>
        <w:spacing w:line="360" w:lineRule="auto"/>
        <w:jc w:val="both"/>
        <w:rPr>
          <w:rFonts w:cstheme="minorHAnsi"/>
          <w:sz w:val="24"/>
          <w:szCs w:val="24"/>
        </w:rPr>
      </w:pPr>
      <w:r w:rsidRPr="00E84135">
        <w:rPr>
          <w:rFonts w:cstheme="minorHAnsi"/>
          <w:sz w:val="24"/>
          <w:szCs w:val="24"/>
        </w:rPr>
        <w:t>La instalación/el mantenimiento de cualquiera de las partes no deberá requerir herramientas “especiales” difíciles de hallar en el mercado nacional.</w:t>
      </w:r>
    </w:p>
    <w:p w14:paraId="7281ABB4" w14:textId="4A491E0B" w:rsidR="00E84135" w:rsidRPr="00E84135" w:rsidRDefault="00E84135" w:rsidP="002112EF">
      <w:pPr>
        <w:pStyle w:val="Ttulo2"/>
      </w:pPr>
      <w:bookmarkStart w:id="7" w:name="_Toc37834244"/>
      <w:r w:rsidRPr="00E84135">
        <w:t>Estanqueidad y grado de protección</w:t>
      </w:r>
      <w:bookmarkEnd w:id="7"/>
    </w:p>
    <w:p w14:paraId="73A50BA1" w14:textId="77777777" w:rsidR="00E84135" w:rsidRPr="00E84135" w:rsidRDefault="00E84135" w:rsidP="00E84135">
      <w:pPr>
        <w:spacing w:line="360" w:lineRule="auto"/>
        <w:jc w:val="both"/>
        <w:rPr>
          <w:rFonts w:cstheme="minorHAnsi"/>
          <w:sz w:val="24"/>
          <w:szCs w:val="24"/>
        </w:rPr>
      </w:pPr>
      <w:r w:rsidRPr="00E84135">
        <w:rPr>
          <w:rFonts w:cstheme="minorHAnsi"/>
          <w:sz w:val="24"/>
          <w:szCs w:val="24"/>
        </w:rPr>
        <w:t>Los cuerpos deberán ser estancos (preferentemente IP65) de forma de que los agentes atmosféricos no dificulten el correcto funcionamiento ni impliquen la desconexión por actuación de los interruptores diferenciales. Las borneras interiores deberán tener la suficiente aislación para evitar que la humedad ambiente provoque la situación mencionada. Cada semáforo deberá estar provisto con un tapón apto para cerrar herméticamente cualquiera de los extremos para acoplamiento que este posea y no se utilicen para la instalación. Para asegurar la hermeticidad entre la puerta y el frente, entre el lente y su marco y, entre la unión de diferentes secciones, se emplearán burletes adecuados y removibles para su sustitución, los cuales no permitirán la entrada de polvo, agua o humedad. Se utilizará un material suficientemente elástico y blando, que no se degrade a la intemperie.</w:t>
      </w:r>
    </w:p>
    <w:p w14:paraId="1DBC076B" w14:textId="2C4CF4F8" w:rsidR="00E84135" w:rsidRPr="00E84135" w:rsidRDefault="00E84135" w:rsidP="002112EF">
      <w:pPr>
        <w:pStyle w:val="Ttulo2"/>
      </w:pPr>
      <w:bookmarkStart w:id="8" w:name="_Toc37834245"/>
      <w:r w:rsidRPr="00E84135">
        <w:lastRenderedPageBreak/>
        <w:t>Conductores, borneras y especificaciones eléctricas</w:t>
      </w:r>
      <w:bookmarkEnd w:id="8"/>
    </w:p>
    <w:p w14:paraId="517544F3" w14:textId="77777777" w:rsidR="00E84135" w:rsidRPr="00E84135" w:rsidRDefault="00E84135" w:rsidP="00E84135">
      <w:pPr>
        <w:spacing w:line="360" w:lineRule="auto"/>
        <w:jc w:val="both"/>
        <w:rPr>
          <w:rFonts w:cstheme="minorHAnsi"/>
          <w:sz w:val="24"/>
          <w:szCs w:val="24"/>
        </w:rPr>
      </w:pPr>
      <w:r w:rsidRPr="00E84135">
        <w:rPr>
          <w:rFonts w:cstheme="minorHAnsi"/>
          <w:sz w:val="24"/>
          <w:szCs w:val="24"/>
        </w:rPr>
        <w:t>La instalación de conductores en el interior de cada semáforo y sus conexiones, debe hacerse satisfaciendo las mejores condiciones. Todos los conductores terminarán en una bornera con aislación adecuada, no carbonizable y provista de bornes, tuercas o tornillos de bronce, imperdibles, con indicaciones indelebles para identificación de los conductores unidos a los mismos. Los conductores tendrán terminales adecuados a las borneras existentes.</w:t>
      </w:r>
    </w:p>
    <w:p w14:paraId="1AE2F725" w14:textId="108F9F74" w:rsidR="00E84135" w:rsidRPr="00E84135" w:rsidRDefault="00E84135" w:rsidP="00E84135">
      <w:pPr>
        <w:spacing w:line="360" w:lineRule="auto"/>
        <w:jc w:val="both"/>
        <w:rPr>
          <w:rFonts w:cstheme="minorHAnsi"/>
          <w:sz w:val="24"/>
          <w:szCs w:val="24"/>
        </w:rPr>
      </w:pPr>
      <w:r w:rsidRPr="00E84135">
        <w:rPr>
          <w:rFonts w:cstheme="minorHAnsi"/>
          <w:sz w:val="24"/>
          <w:szCs w:val="24"/>
        </w:rPr>
        <w:t>Los semáforos serán utilizados con corriente alterna de 220 voltios</w:t>
      </w:r>
      <w:r w:rsidR="002112EF">
        <w:rPr>
          <w:rFonts w:cstheme="minorHAnsi"/>
          <w:sz w:val="24"/>
          <w:szCs w:val="24"/>
        </w:rPr>
        <w:t xml:space="preserve"> y 50 Hz, con los rangos de seguridad que se indiquen.</w:t>
      </w:r>
    </w:p>
    <w:p w14:paraId="10300A41" w14:textId="77777777" w:rsidR="00E84135" w:rsidRPr="00E84135" w:rsidRDefault="00E84135" w:rsidP="00E84135">
      <w:pPr>
        <w:spacing w:line="360" w:lineRule="auto"/>
        <w:jc w:val="both"/>
        <w:rPr>
          <w:rFonts w:cstheme="minorHAnsi"/>
          <w:sz w:val="24"/>
          <w:szCs w:val="24"/>
        </w:rPr>
      </w:pPr>
      <w:r w:rsidRPr="00E84135">
        <w:rPr>
          <w:rFonts w:cstheme="minorHAnsi"/>
          <w:sz w:val="24"/>
          <w:szCs w:val="24"/>
        </w:rPr>
        <w:t>Se exigirán ensayos realizados a los artefactos y su sistema óptico por institutos independientes que certifiquen el cumplimiento de lo indicado precedentemente</w:t>
      </w:r>
    </w:p>
    <w:p w14:paraId="1E0621DA" w14:textId="3F1B60B3" w:rsidR="00E84135" w:rsidRPr="00E84135" w:rsidRDefault="00E84135" w:rsidP="002112EF">
      <w:pPr>
        <w:pStyle w:val="Ttulo2"/>
      </w:pPr>
      <w:bookmarkStart w:id="9" w:name="_Toc37834246"/>
      <w:r w:rsidRPr="00E84135">
        <w:t>Caras</w:t>
      </w:r>
      <w:bookmarkEnd w:id="9"/>
    </w:p>
    <w:p w14:paraId="6C4D718C" w14:textId="77777777" w:rsidR="00E84135" w:rsidRPr="00E84135" w:rsidRDefault="00E84135" w:rsidP="00E84135">
      <w:pPr>
        <w:spacing w:line="360" w:lineRule="auto"/>
        <w:jc w:val="both"/>
        <w:rPr>
          <w:rFonts w:cstheme="minorHAnsi"/>
          <w:sz w:val="24"/>
          <w:szCs w:val="24"/>
        </w:rPr>
      </w:pPr>
      <w:r w:rsidRPr="00E84135">
        <w:rPr>
          <w:rFonts w:cstheme="minorHAnsi"/>
          <w:sz w:val="24"/>
          <w:szCs w:val="24"/>
        </w:rPr>
        <w:t>a) Vehiculares: Deberán ser de policarbonato inyectado, de color amarillo cromo, de tres o más secciones con, como mínimo según el caso, tres lentes color rojo, ámbar y verde cada uno, con visera antirreflejo, reflector, “portalámpara” y conexionado interno con regletas terminales. Deberán asegurar total hermeticidad a través de burletes adecuados, removibles entre puertas y frentes y, entre lentes y marcos.</w:t>
      </w:r>
    </w:p>
    <w:p w14:paraId="720A0164" w14:textId="77777777" w:rsidR="00E84135" w:rsidRPr="00E84135" w:rsidRDefault="00E84135" w:rsidP="00E84135">
      <w:pPr>
        <w:spacing w:line="360" w:lineRule="auto"/>
        <w:jc w:val="both"/>
        <w:rPr>
          <w:rFonts w:cstheme="minorHAnsi"/>
          <w:sz w:val="24"/>
          <w:szCs w:val="24"/>
        </w:rPr>
      </w:pPr>
      <w:r w:rsidRPr="00E84135">
        <w:rPr>
          <w:rFonts w:cstheme="minorHAnsi"/>
          <w:sz w:val="24"/>
          <w:szCs w:val="24"/>
        </w:rPr>
        <w:t>Para su correcto montaje, cada grupo de dos artefactos formará uno bidireccional y las piezas de unión y sujeción deberán ser de material de fundición, hierro o similar, permitiendo el conexionado y/o puentes entre ambos aparatos en forma interna, así como la conexión del cable de tierra. Estas piezas metálicas deberán ser pintadas con esmalte color amarillo cromo. En caso de realizarse puentes entre artefactos en forma externa, se deberán utilizar prensaestopas del mismo diámetro que el cable utilizado, de manera de asegurar la estanqueidad de las instalaciones.</w:t>
      </w:r>
    </w:p>
    <w:p w14:paraId="04E44B26" w14:textId="77777777" w:rsidR="00E84135" w:rsidRPr="00E84135" w:rsidRDefault="00E84135" w:rsidP="00E84135">
      <w:pPr>
        <w:spacing w:line="360" w:lineRule="auto"/>
        <w:jc w:val="both"/>
        <w:rPr>
          <w:rFonts w:cstheme="minorHAnsi"/>
          <w:sz w:val="24"/>
          <w:szCs w:val="24"/>
        </w:rPr>
      </w:pPr>
      <w:r w:rsidRPr="00E84135">
        <w:rPr>
          <w:rFonts w:cstheme="minorHAnsi"/>
          <w:sz w:val="24"/>
          <w:szCs w:val="24"/>
        </w:rPr>
        <w:t xml:space="preserve">b) Peatonales: Deberán ser de policarbonato inyectado, de color amarillo cromo, de dos secciones cada uno, de mínimo 200 mm de lado de frente cuadrado, con visera antirreflejo, reflector, “portalámpara” y conexionado interno con regletas terminales. Deberán asegurar total hermeticidad a través de burletes adecuados, removibles entre puertas y frentes y, entre lentes y marcos. Deberán ser montados con las piezas metálicas adecuadas de forma de que se puedan montar sobre las mismas columnas </w:t>
      </w:r>
      <w:r w:rsidRPr="00E84135">
        <w:rPr>
          <w:rFonts w:cstheme="minorHAnsi"/>
          <w:sz w:val="24"/>
          <w:szCs w:val="24"/>
        </w:rPr>
        <w:lastRenderedPageBreak/>
        <w:t>que los artefactos vehiculares, con sistema de brazo lateral o similar. Estas piezas también deberán ser de material de fundición, hierro o similar y deberán ser pintadas con esmalte color amarillo cromo.</w:t>
      </w:r>
    </w:p>
    <w:p w14:paraId="4523A0FC" w14:textId="605F8AA7" w:rsidR="00E84135" w:rsidRPr="00E84135" w:rsidRDefault="00E84135" w:rsidP="002112EF">
      <w:pPr>
        <w:pStyle w:val="Ttulo2"/>
      </w:pPr>
      <w:bookmarkStart w:id="10" w:name="_Toc37834247"/>
      <w:r w:rsidRPr="00E84135">
        <w:t>Lámparas</w:t>
      </w:r>
      <w:bookmarkEnd w:id="10"/>
    </w:p>
    <w:p w14:paraId="02E3B586" w14:textId="77777777" w:rsidR="00E84135" w:rsidRPr="00E84135" w:rsidRDefault="00E84135" w:rsidP="00E84135">
      <w:pPr>
        <w:spacing w:line="360" w:lineRule="auto"/>
        <w:jc w:val="both"/>
        <w:rPr>
          <w:rFonts w:cstheme="minorHAnsi"/>
          <w:sz w:val="24"/>
          <w:szCs w:val="24"/>
        </w:rPr>
      </w:pPr>
      <w:r w:rsidRPr="00E84135">
        <w:rPr>
          <w:rFonts w:cstheme="minorHAnsi"/>
          <w:sz w:val="24"/>
          <w:szCs w:val="24"/>
        </w:rPr>
        <w:t>Las lámparas serán del tipo LED. Serán del tipo ultrabrillante. Se deberá asegurar que las exigencias de mantenimiento se reduzcan al mínimo. Cualquier componente pasible de ser reemplazado debe ser fácilmente intercambiable y el cambio no debe afectar la resolución óptica.</w:t>
      </w:r>
    </w:p>
    <w:p w14:paraId="74B77E37" w14:textId="77777777" w:rsidR="00E84135" w:rsidRPr="00E84135" w:rsidRDefault="00E84135" w:rsidP="00E84135">
      <w:pPr>
        <w:spacing w:line="360" w:lineRule="auto"/>
        <w:jc w:val="both"/>
        <w:rPr>
          <w:rFonts w:cstheme="minorHAnsi"/>
          <w:sz w:val="24"/>
          <w:szCs w:val="24"/>
        </w:rPr>
      </w:pPr>
      <w:r w:rsidRPr="00E84135">
        <w:rPr>
          <w:rFonts w:cstheme="minorHAnsi"/>
          <w:sz w:val="24"/>
          <w:szCs w:val="24"/>
        </w:rPr>
        <w:t>El oferente deberá detallar en la documentación a entregar el mantenimiento necesario, incluyendo los métodos y materiales de limpieza. Se deberá asegurar que la resolución óptica se mantenga como mínimo al 90% de los valores mínimos especificados en este pliego al final del período de garantía.</w:t>
      </w:r>
    </w:p>
    <w:p w14:paraId="3E71E816" w14:textId="77777777" w:rsidR="00E84135" w:rsidRPr="00E84135" w:rsidRDefault="00E84135" w:rsidP="00E84135">
      <w:pPr>
        <w:spacing w:line="360" w:lineRule="auto"/>
        <w:jc w:val="both"/>
        <w:rPr>
          <w:rFonts w:cstheme="minorHAnsi"/>
          <w:sz w:val="24"/>
          <w:szCs w:val="24"/>
        </w:rPr>
      </w:pPr>
      <w:r w:rsidRPr="00E84135">
        <w:rPr>
          <w:rFonts w:cstheme="minorHAnsi"/>
          <w:sz w:val="24"/>
          <w:szCs w:val="24"/>
        </w:rPr>
        <w:t>Las ópticas a suministrar deberán tener un grado de protección igual o superior a IP55.</w:t>
      </w:r>
    </w:p>
    <w:p w14:paraId="32E17853" w14:textId="77777777" w:rsidR="00E84135" w:rsidRPr="00E84135" w:rsidRDefault="00E84135" w:rsidP="00E84135">
      <w:pPr>
        <w:spacing w:line="360" w:lineRule="auto"/>
        <w:jc w:val="both"/>
        <w:rPr>
          <w:rFonts w:cstheme="minorHAnsi"/>
          <w:sz w:val="24"/>
          <w:szCs w:val="24"/>
        </w:rPr>
      </w:pPr>
      <w:r w:rsidRPr="00E84135">
        <w:rPr>
          <w:rFonts w:cstheme="minorHAnsi"/>
          <w:sz w:val="24"/>
          <w:szCs w:val="24"/>
        </w:rPr>
        <w:t>Se dará preferencia a las unidades ópticas que, en caso de falla, permitan sustituir la electrónica asociada a los LEDs (fuente o driver) de forma rápida y fácil, manteniendo el resto de la unidad óptica.</w:t>
      </w:r>
    </w:p>
    <w:p w14:paraId="0ED1C3F3" w14:textId="77777777" w:rsidR="00E84135" w:rsidRPr="00E84135" w:rsidRDefault="00E84135" w:rsidP="00E84135">
      <w:pPr>
        <w:spacing w:line="360" w:lineRule="auto"/>
        <w:jc w:val="both"/>
        <w:rPr>
          <w:rFonts w:cstheme="minorHAnsi"/>
          <w:sz w:val="24"/>
          <w:szCs w:val="24"/>
        </w:rPr>
      </w:pPr>
      <w:r w:rsidRPr="00E84135">
        <w:rPr>
          <w:rFonts w:cstheme="minorHAnsi"/>
          <w:sz w:val="24"/>
          <w:szCs w:val="24"/>
        </w:rPr>
        <w:t>Los LEDs individuales estarán conectados de tal modo que el apagado o la falta de uno no dé lugar al apagado del módulo entero.</w:t>
      </w:r>
    </w:p>
    <w:p w14:paraId="2056F2CF" w14:textId="53CC3EE2" w:rsidR="00E84135" w:rsidRPr="00E84135" w:rsidRDefault="00E84135" w:rsidP="002112EF">
      <w:pPr>
        <w:pStyle w:val="Ttulo2"/>
      </w:pPr>
      <w:bookmarkStart w:id="11" w:name="_Toc37834248"/>
      <w:r w:rsidRPr="00E84135">
        <w:t>Construcción</w:t>
      </w:r>
      <w:bookmarkEnd w:id="11"/>
    </w:p>
    <w:p w14:paraId="42ADA526" w14:textId="77777777" w:rsidR="00E84135" w:rsidRPr="00E84135" w:rsidRDefault="00E84135" w:rsidP="00E84135">
      <w:pPr>
        <w:spacing w:line="360" w:lineRule="auto"/>
        <w:jc w:val="both"/>
        <w:rPr>
          <w:rFonts w:cstheme="minorHAnsi"/>
          <w:sz w:val="24"/>
          <w:szCs w:val="24"/>
        </w:rPr>
      </w:pPr>
      <w:r w:rsidRPr="00E84135">
        <w:rPr>
          <w:rFonts w:cstheme="minorHAnsi"/>
          <w:sz w:val="24"/>
          <w:szCs w:val="24"/>
        </w:rPr>
        <w:t>Los módulos LEDS estarán mecánicamente diseñados para asegurar que todos los componentes internos soporten el choque y la vibración mecánica originada por vientos y otras causas.</w:t>
      </w:r>
    </w:p>
    <w:p w14:paraId="1AA57441" w14:textId="77777777" w:rsidR="00E84135" w:rsidRPr="00E84135" w:rsidRDefault="00E84135" w:rsidP="00E84135">
      <w:pPr>
        <w:spacing w:line="360" w:lineRule="auto"/>
        <w:jc w:val="both"/>
        <w:rPr>
          <w:rFonts w:cstheme="minorHAnsi"/>
          <w:sz w:val="24"/>
          <w:szCs w:val="24"/>
        </w:rPr>
      </w:pPr>
      <w:r w:rsidRPr="00E84135">
        <w:rPr>
          <w:rFonts w:cstheme="minorHAnsi"/>
          <w:sz w:val="24"/>
          <w:szCs w:val="24"/>
        </w:rPr>
        <w:t>La lente del módulo será fabricada en policarbonato e integrada a la unidad; convexa, con la superficie externa lisa, capaz de soportar la exposición a la radiación ultravioleta del sol directo, por un período mínimo de 60 meses sin mostrar evidencia de deterioro.</w:t>
      </w:r>
    </w:p>
    <w:p w14:paraId="5869A619" w14:textId="77777777" w:rsidR="00E84135" w:rsidRPr="00E84135" w:rsidRDefault="00E84135" w:rsidP="00E84135">
      <w:pPr>
        <w:spacing w:line="360" w:lineRule="auto"/>
        <w:jc w:val="both"/>
        <w:rPr>
          <w:rFonts w:cstheme="minorHAnsi"/>
          <w:sz w:val="24"/>
          <w:szCs w:val="24"/>
        </w:rPr>
      </w:pPr>
      <w:r w:rsidRPr="00E84135">
        <w:rPr>
          <w:rFonts w:cstheme="minorHAnsi"/>
          <w:sz w:val="24"/>
          <w:szCs w:val="24"/>
        </w:rPr>
        <w:t>Los lentes no tendrán rajaduras, burbujas u otras imperfecciones que afecten su eficiencia.</w:t>
      </w:r>
    </w:p>
    <w:p w14:paraId="6815E7AB" w14:textId="77777777" w:rsidR="00E84135" w:rsidRPr="00E84135" w:rsidRDefault="00E84135" w:rsidP="00E84135">
      <w:pPr>
        <w:spacing w:line="360" w:lineRule="auto"/>
        <w:jc w:val="both"/>
        <w:rPr>
          <w:rFonts w:cstheme="minorHAnsi"/>
          <w:sz w:val="24"/>
          <w:szCs w:val="24"/>
        </w:rPr>
      </w:pPr>
      <w:r w:rsidRPr="00E84135">
        <w:rPr>
          <w:rFonts w:cstheme="minorHAnsi"/>
          <w:sz w:val="24"/>
          <w:szCs w:val="24"/>
        </w:rPr>
        <w:lastRenderedPageBreak/>
        <w:t>No se deberá alterar la cromaticidad de la lente, y será uniforme en toda su superficie. Si se utiliza una lente polimérica, se aplicará un tratamiento para proporcionar adecuada resistencia a la abrasión en la cara externa de la misma.</w:t>
      </w:r>
    </w:p>
    <w:p w14:paraId="6F573B13" w14:textId="6766D328" w:rsidR="00E84135" w:rsidRPr="00E84135" w:rsidRDefault="00E84135" w:rsidP="00E84135">
      <w:pPr>
        <w:spacing w:line="360" w:lineRule="auto"/>
        <w:jc w:val="both"/>
        <w:rPr>
          <w:rFonts w:cstheme="minorHAnsi"/>
          <w:sz w:val="24"/>
          <w:szCs w:val="24"/>
        </w:rPr>
      </w:pPr>
      <w:r w:rsidRPr="00E84135">
        <w:rPr>
          <w:rFonts w:cstheme="minorHAnsi"/>
          <w:sz w:val="24"/>
          <w:szCs w:val="24"/>
        </w:rPr>
        <w:t>Cada módulo tendrá identificado en forma indeleble el nombre del fabricante, marca,</w:t>
      </w:r>
      <w:r w:rsidR="00956C11">
        <w:rPr>
          <w:rFonts w:cstheme="minorHAnsi"/>
          <w:sz w:val="24"/>
          <w:szCs w:val="24"/>
        </w:rPr>
        <w:t xml:space="preserve"> </w:t>
      </w:r>
      <w:r w:rsidRPr="00E84135">
        <w:rPr>
          <w:rFonts w:cstheme="minorHAnsi"/>
          <w:sz w:val="24"/>
          <w:szCs w:val="24"/>
        </w:rPr>
        <w:t>modelo, número de serie y fecha de la fabricación (mes-año).</w:t>
      </w:r>
    </w:p>
    <w:p w14:paraId="0082403E" w14:textId="77777777" w:rsidR="00E84135" w:rsidRPr="00E84135" w:rsidRDefault="00E84135" w:rsidP="00E84135">
      <w:pPr>
        <w:spacing w:line="360" w:lineRule="auto"/>
        <w:jc w:val="both"/>
        <w:rPr>
          <w:rFonts w:cstheme="minorHAnsi"/>
          <w:sz w:val="24"/>
          <w:szCs w:val="24"/>
        </w:rPr>
      </w:pPr>
      <w:r w:rsidRPr="00E84135">
        <w:rPr>
          <w:rFonts w:cstheme="minorHAnsi"/>
          <w:sz w:val="24"/>
          <w:szCs w:val="24"/>
        </w:rPr>
        <w:t>En los mismos deberán figurar en forma indeleble los parámetros característicos de operación, es decir la tensión de alimentación y potencia de trabajo.</w:t>
      </w:r>
    </w:p>
    <w:p w14:paraId="1FE73336" w14:textId="77777777" w:rsidR="00E84135" w:rsidRPr="00E84135" w:rsidRDefault="00E84135" w:rsidP="00E84135">
      <w:pPr>
        <w:spacing w:line="360" w:lineRule="auto"/>
        <w:jc w:val="both"/>
        <w:rPr>
          <w:rFonts w:cstheme="minorHAnsi"/>
          <w:sz w:val="24"/>
          <w:szCs w:val="24"/>
        </w:rPr>
      </w:pPr>
      <w:r w:rsidRPr="00E84135">
        <w:rPr>
          <w:rFonts w:cstheme="minorHAnsi"/>
          <w:sz w:val="24"/>
          <w:szCs w:val="24"/>
        </w:rPr>
        <w:t>Si se requiere una orientación específica del módulo, se indicará con una marca visible y permanente la posición correcta y orientación dentro de la caja que aloja la óptica del semáforo.</w:t>
      </w:r>
    </w:p>
    <w:p w14:paraId="03A46A4D" w14:textId="1B3B035E" w:rsidR="00E84135" w:rsidRPr="00E84135" w:rsidRDefault="00E84135" w:rsidP="002112EF">
      <w:pPr>
        <w:pStyle w:val="Ttulo2"/>
      </w:pPr>
      <w:bookmarkStart w:id="12" w:name="_Toc37834249"/>
      <w:r w:rsidRPr="00E84135">
        <w:t>Dimensiones, lentes, características eléctricas y de operación, colores</w:t>
      </w:r>
      <w:bookmarkEnd w:id="12"/>
    </w:p>
    <w:p w14:paraId="558EB61E" w14:textId="77777777" w:rsidR="00E84135" w:rsidRPr="00E84135" w:rsidRDefault="00E84135" w:rsidP="00E84135">
      <w:pPr>
        <w:spacing w:line="360" w:lineRule="auto"/>
        <w:jc w:val="both"/>
        <w:rPr>
          <w:rFonts w:cstheme="minorHAnsi"/>
          <w:sz w:val="24"/>
          <w:szCs w:val="24"/>
        </w:rPr>
      </w:pPr>
      <w:r w:rsidRPr="00E84135">
        <w:rPr>
          <w:rFonts w:cstheme="minorHAnsi"/>
          <w:sz w:val="24"/>
          <w:szCs w:val="24"/>
        </w:rPr>
        <w:t>Las dimensiones mínimas de las ópticas serán las siguientes:</w:t>
      </w:r>
    </w:p>
    <w:p w14:paraId="5EED908C" w14:textId="77777777" w:rsidR="00E84135" w:rsidRPr="00E84135" w:rsidRDefault="00E84135" w:rsidP="00E84135">
      <w:pPr>
        <w:spacing w:line="360" w:lineRule="auto"/>
        <w:jc w:val="both"/>
        <w:rPr>
          <w:rFonts w:cstheme="minorHAnsi"/>
          <w:sz w:val="24"/>
          <w:szCs w:val="24"/>
        </w:rPr>
      </w:pPr>
      <w:r w:rsidRPr="00E84135">
        <w:rPr>
          <w:rFonts w:cstheme="minorHAnsi"/>
          <w:sz w:val="24"/>
          <w:szCs w:val="24"/>
        </w:rPr>
        <w:t>•</w:t>
      </w:r>
      <w:r w:rsidRPr="00E84135">
        <w:rPr>
          <w:rFonts w:cstheme="minorHAnsi"/>
          <w:sz w:val="24"/>
          <w:szCs w:val="24"/>
        </w:rPr>
        <w:tab/>
        <w:t>Color rojo: circular de 300 mm de diámetro</w:t>
      </w:r>
    </w:p>
    <w:p w14:paraId="5ACF45BE" w14:textId="77777777" w:rsidR="00E84135" w:rsidRPr="00E84135" w:rsidRDefault="00E84135" w:rsidP="00E84135">
      <w:pPr>
        <w:spacing w:line="360" w:lineRule="auto"/>
        <w:jc w:val="both"/>
        <w:rPr>
          <w:rFonts w:cstheme="minorHAnsi"/>
          <w:sz w:val="24"/>
          <w:szCs w:val="24"/>
        </w:rPr>
      </w:pPr>
      <w:r w:rsidRPr="00E84135">
        <w:rPr>
          <w:rFonts w:cstheme="minorHAnsi"/>
          <w:sz w:val="24"/>
          <w:szCs w:val="24"/>
        </w:rPr>
        <w:t>•</w:t>
      </w:r>
      <w:r w:rsidRPr="00E84135">
        <w:rPr>
          <w:rFonts w:cstheme="minorHAnsi"/>
          <w:sz w:val="24"/>
          <w:szCs w:val="24"/>
        </w:rPr>
        <w:tab/>
        <w:t>Color amarillo y verde: circular de 200 mm de diámetro</w:t>
      </w:r>
    </w:p>
    <w:p w14:paraId="5CB35FAA" w14:textId="77777777" w:rsidR="00E84135" w:rsidRPr="00E84135" w:rsidRDefault="00E84135" w:rsidP="00E84135">
      <w:pPr>
        <w:spacing w:line="360" w:lineRule="auto"/>
        <w:jc w:val="both"/>
        <w:rPr>
          <w:rFonts w:cstheme="minorHAnsi"/>
          <w:sz w:val="24"/>
          <w:szCs w:val="24"/>
        </w:rPr>
      </w:pPr>
      <w:r w:rsidRPr="00E84135">
        <w:rPr>
          <w:rFonts w:cstheme="minorHAnsi"/>
          <w:sz w:val="24"/>
          <w:szCs w:val="24"/>
        </w:rPr>
        <w:t>•</w:t>
      </w:r>
      <w:r w:rsidRPr="00E84135">
        <w:rPr>
          <w:rFonts w:cstheme="minorHAnsi"/>
          <w:sz w:val="24"/>
          <w:szCs w:val="24"/>
        </w:rPr>
        <w:tab/>
        <w:t>Color flecha direccional verde: circular de 200 mm de lado</w:t>
      </w:r>
    </w:p>
    <w:p w14:paraId="6869EE32" w14:textId="77777777" w:rsidR="00E84135" w:rsidRPr="00E84135" w:rsidRDefault="00E84135" w:rsidP="00E84135">
      <w:pPr>
        <w:spacing w:line="360" w:lineRule="auto"/>
        <w:jc w:val="both"/>
        <w:rPr>
          <w:rFonts w:cstheme="minorHAnsi"/>
          <w:sz w:val="24"/>
          <w:szCs w:val="24"/>
        </w:rPr>
      </w:pPr>
      <w:r w:rsidRPr="00E84135">
        <w:rPr>
          <w:rFonts w:cstheme="minorHAnsi"/>
          <w:sz w:val="24"/>
          <w:szCs w:val="24"/>
        </w:rPr>
        <w:t>•</w:t>
      </w:r>
      <w:r w:rsidRPr="00E84135">
        <w:rPr>
          <w:rFonts w:cstheme="minorHAnsi"/>
          <w:sz w:val="24"/>
          <w:szCs w:val="24"/>
        </w:rPr>
        <w:tab/>
        <w:t>Color anaranjado, figura llena de peatón esperando: cuadrado de 200 mm de lado mínimo</w:t>
      </w:r>
    </w:p>
    <w:p w14:paraId="42E3F484" w14:textId="77777777" w:rsidR="00E84135" w:rsidRPr="00E84135" w:rsidRDefault="00E84135" w:rsidP="00E84135">
      <w:pPr>
        <w:spacing w:line="360" w:lineRule="auto"/>
        <w:jc w:val="both"/>
        <w:rPr>
          <w:rFonts w:cstheme="minorHAnsi"/>
          <w:sz w:val="24"/>
          <w:szCs w:val="24"/>
        </w:rPr>
      </w:pPr>
      <w:r w:rsidRPr="00E84135">
        <w:rPr>
          <w:rFonts w:cstheme="minorHAnsi"/>
          <w:sz w:val="24"/>
          <w:szCs w:val="24"/>
        </w:rPr>
        <w:t>•</w:t>
      </w:r>
      <w:r w:rsidRPr="00E84135">
        <w:rPr>
          <w:rFonts w:cstheme="minorHAnsi"/>
          <w:sz w:val="24"/>
          <w:szCs w:val="24"/>
        </w:rPr>
        <w:tab/>
        <w:t>Color blanco, figura llena de peatón cruzando: cuadrado de 200 mm de lado mínimo</w:t>
      </w:r>
    </w:p>
    <w:p w14:paraId="3E284B90" w14:textId="77777777" w:rsidR="00E84135" w:rsidRPr="00E84135" w:rsidRDefault="00E84135" w:rsidP="00E84135">
      <w:pPr>
        <w:spacing w:line="360" w:lineRule="auto"/>
        <w:jc w:val="both"/>
        <w:rPr>
          <w:rFonts w:cstheme="minorHAnsi"/>
          <w:sz w:val="24"/>
          <w:szCs w:val="24"/>
        </w:rPr>
      </w:pPr>
      <w:r w:rsidRPr="00E84135">
        <w:rPr>
          <w:rFonts w:cstheme="minorHAnsi"/>
          <w:sz w:val="24"/>
          <w:szCs w:val="24"/>
        </w:rPr>
        <w:t>Las lentes estarán fabricadas de tal forma que la instalación de las unidades ópticas en las carcasas sea lo más fácil posible. Tendrán suficiente resistencia al impacto.</w:t>
      </w:r>
    </w:p>
    <w:p w14:paraId="2AE7A476" w14:textId="77777777" w:rsidR="00E84135" w:rsidRPr="00E84135" w:rsidRDefault="00E84135" w:rsidP="00E84135">
      <w:pPr>
        <w:spacing w:line="360" w:lineRule="auto"/>
        <w:jc w:val="both"/>
        <w:rPr>
          <w:rFonts w:cstheme="minorHAnsi"/>
          <w:sz w:val="24"/>
          <w:szCs w:val="24"/>
        </w:rPr>
      </w:pPr>
      <w:r w:rsidRPr="00E84135">
        <w:rPr>
          <w:rFonts w:cstheme="minorHAnsi"/>
          <w:sz w:val="24"/>
          <w:szCs w:val="24"/>
        </w:rPr>
        <w:t xml:space="preserve">Todos los parámetros característicos se medirán el voltaje de funcionamiento de los semáforos (220 voltios). El rango de tensión será entre 170 y 265 voltios y ± 3% en la frecuencia (50 Hz). Las unidades ópticas deberán incorporar (en el circuito electrónico de alimentación y regulación de tensión del módulo) sistemas de protección contra picos (sobretensión) y de supresión de transitorios (originados por ruido eléctrico). Las fluctuaciones de la tensión de línea, no tendrán efecto visible alguno (parpadeo </w:t>
      </w:r>
      <w:r w:rsidRPr="00E84135">
        <w:rPr>
          <w:rFonts w:cstheme="minorHAnsi"/>
          <w:sz w:val="24"/>
          <w:szCs w:val="24"/>
        </w:rPr>
        <w:lastRenderedPageBreak/>
        <w:t>perceptible a simple vista) en la intensidad luminosa emitida por los módulos, operando dentro de la gama del voltaje típico especificado.</w:t>
      </w:r>
    </w:p>
    <w:p w14:paraId="139D11D8" w14:textId="77777777" w:rsidR="00E84135" w:rsidRPr="00E84135" w:rsidRDefault="00E84135" w:rsidP="00E84135">
      <w:pPr>
        <w:spacing w:line="360" w:lineRule="auto"/>
        <w:jc w:val="both"/>
        <w:rPr>
          <w:rFonts w:cstheme="minorHAnsi"/>
          <w:sz w:val="24"/>
          <w:szCs w:val="24"/>
        </w:rPr>
      </w:pPr>
      <w:r w:rsidRPr="00E84135">
        <w:rPr>
          <w:rFonts w:cstheme="minorHAnsi"/>
          <w:sz w:val="24"/>
          <w:szCs w:val="24"/>
        </w:rPr>
        <w:t>El factor de potencia de la unidad óptica deberá ser igual o superior a 0,92.</w:t>
      </w:r>
    </w:p>
    <w:p w14:paraId="0BC2502E" w14:textId="77777777" w:rsidR="00E84135" w:rsidRPr="00E84135" w:rsidRDefault="00E84135" w:rsidP="00E84135">
      <w:pPr>
        <w:spacing w:line="360" w:lineRule="auto"/>
        <w:jc w:val="both"/>
        <w:rPr>
          <w:rFonts w:cstheme="minorHAnsi"/>
          <w:sz w:val="24"/>
          <w:szCs w:val="24"/>
        </w:rPr>
      </w:pPr>
      <w:r w:rsidRPr="00E84135">
        <w:rPr>
          <w:rFonts w:cstheme="minorHAnsi"/>
          <w:sz w:val="24"/>
          <w:szCs w:val="24"/>
        </w:rPr>
        <w:t>La distorsión armónica total (de THD, corriente y tensión) no excederá del 20 por ciento.</w:t>
      </w:r>
    </w:p>
    <w:p w14:paraId="388ABDD7" w14:textId="77777777" w:rsidR="00E84135" w:rsidRPr="00E84135" w:rsidRDefault="00E84135" w:rsidP="00E84135">
      <w:pPr>
        <w:spacing w:line="360" w:lineRule="auto"/>
        <w:jc w:val="both"/>
        <w:rPr>
          <w:rFonts w:cstheme="minorHAnsi"/>
          <w:sz w:val="24"/>
          <w:szCs w:val="24"/>
        </w:rPr>
      </w:pPr>
      <w:r w:rsidRPr="00E84135">
        <w:rPr>
          <w:rFonts w:cstheme="minorHAnsi"/>
          <w:sz w:val="24"/>
          <w:szCs w:val="24"/>
        </w:rPr>
        <w:t>Los consumos de potencia (Watts) máximos admitidos para las unidades ópticas serán los siguientes (a 25 y a 74° C):</w:t>
      </w:r>
    </w:p>
    <w:p w14:paraId="3DA1C5BC" w14:textId="77777777" w:rsidR="00E84135" w:rsidRPr="00E84135" w:rsidRDefault="00E84135" w:rsidP="00E84135">
      <w:pPr>
        <w:spacing w:line="360" w:lineRule="auto"/>
        <w:jc w:val="both"/>
        <w:rPr>
          <w:rFonts w:cstheme="minorHAnsi"/>
          <w:sz w:val="24"/>
          <w:szCs w:val="24"/>
        </w:rPr>
      </w:pPr>
      <w:r w:rsidRPr="00E84135">
        <w:rPr>
          <w:rFonts w:cstheme="minorHAnsi"/>
          <w:sz w:val="24"/>
          <w:szCs w:val="24"/>
        </w:rPr>
        <w:t>•</w:t>
      </w:r>
      <w:r w:rsidRPr="00E84135">
        <w:rPr>
          <w:rFonts w:cstheme="minorHAnsi"/>
          <w:sz w:val="24"/>
          <w:szCs w:val="24"/>
        </w:rPr>
        <w:tab/>
        <w:t xml:space="preserve">Módulo de 300mm de diámetro: </w:t>
      </w:r>
      <w:r w:rsidRPr="00E84135">
        <w:rPr>
          <w:rFonts w:cstheme="minorHAnsi"/>
          <w:sz w:val="24"/>
          <w:szCs w:val="24"/>
        </w:rPr>
        <w:tab/>
        <w:t>8 - 13 W (rojo)</w:t>
      </w:r>
    </w:p>
    <w:p w14:paraId="022B94F8" w14:textId="77777777" w:rsidR="00E84135" w:rsidRPr="00E84135" w:rsidRDefault="00E84135" w:rsidP="00E84135">
      <w:pPr>
        <w:spacing w:line="360" w:lineRule="auto"/>
        <w:jc w:val="both"/>
        <w:rPr>
          <w:rFonts w:cstheme="minorHAnsi"/>
          <w:sz w:val="24"/>
          <w:szCs w:val="24"/>
        </w:rPr>
      </w:pPr>
      <w:r w:rsidRPr="00E84135">
        <w:rPr>
          <w:rFonts w:cstheme="minorHAnsi"/>
          <w:sz w:val="24"/>
          <w:szCs w:val="24"/>
        </w:rPr>
        <w:t>•</w:t>
      </w:r>
      <w:r w:rsidRPr="00E84135">
        <w:rPr>
          <w:rFonts w:cstheme="minorHAnsi"/>
          <w:sz w:val="24"/>
          <w:szCs w:val="24"/>
        </w:rPr>
        <w:tab/>
        <w:t xml:space="preserve">Módulo de 200mm: </w:t>
      </w:r>
      <w:r w:rsidRPr="00E84135">
        <w:rPr>
          <w:rFonts w:cstheme="minorHAnsi"/>
          <w:sz w:val="24"/>
          <w:szCs w:val="24"/>
        </w:rPr>
        <w:tab/>
        <w:t>15 - 15 W (verde) y 22 - 25 W (amarillo)</w:t>
      </w:r>
    </w:p>
    <w:p w14:paraId="5CFE8F23" w14:textId="77777777" w:rsidR="00E84135" w:rsidRPr="00E84135" w:rsidRDefault="00E84135" w:rsidP="00E84135">
      <w:pPr>
        <w:spacing w:line="360" w:lineRule="auto"/>
        <w:jc w:val="both"/>
        <w:rPr>
          <w:rFonts w:cstheme="minorHAnsi"/>
          <w:sz w:val="24"/>
          <w:szCs w:val="24"/>
        </w:rPr>
      </w:pPr>
      <w:r w:rsidRPr="00E84135">
        <w:rPr>
          <w:rFonts w:cstheme="minorHAnsi"/>
          <w:sz w:val="24"/>
          <w:szCs w:val="24"/>
        </w:rPr>
        <w:t>Las unidades   ópticas   deberán   trabajar   correctamente   dentro de un rango de temperatura de entre -15° C y 50° C sin que alguno de sus componentes sufra daño alguno.</w:t>
      </w:r>
    </w:p>
    <w:p w14:paraId="2CC60F87" w14:textId="77777777" w:rsidR="00E84135" w:rsidRPr="00E84135" w:rsidRDefault="00E84135" w:rsidP="00E84135">
      <w:pPr>
        <w:spacing w:line="360" w:lineRule="auto"/>
        <w:jc w:val="both"/>
        <w:rPr>
          <w:rFonts w:cstheme="minorHAnsi"/>
          <w:sz w:val="24"/>
          <w:szCs w:val="24"/>
        </w:rPr>
      </w:pPr>
      <w:r w:rsidRPr="00E84135">
        <w:rPr>
          <w:rFonts w:cstheme="minorHAnsi"/>
          <w:sz w:val="24"/>
          <w:szCs w:val="24"/>
        </w:rPr>
        <w:t>Los LED que conforman las unidades ópticas deberán tener una vida útil garantizada mínima de 50 mil horas (sugerida 100 mil) de uso continuo. Los módulos tendrán una vida útil garantizada mínima de cuatro años.</w:t>
      </w:r>
    </w:p>
    <w:p w14:paraId="454E8868" w14:textId="41FCE113" w:rsidR="00E84135" w:rsidRPr="00E84135" w:rsidRDefault="00E84135" w:rsidP="002112EF">
      <w:pPr>
        <w:pStyle w:val="Ttulo2"/>
      </w:pPr>
      <w:bookmarkStart w:id="13" w:name="_Toc37834250"/>
      <w:r w:rsidRPr="00E84135">
        <w:t>Requisitos fotométricos</w:t>
      </w:r>
      <w:bookmarkEnd w:id="13"/>
    </w:p>
    <w:p w14:paraId="70D3D9DE" w14:textId="77777777" w:rsidR="00E84135" w:rsidRPr="00E84135" w:rsidRDefault="00E84135" w:rsidP="00E84135">
      <w:pPr>
        <w:spacing w:line="360" w:lineRule="auto"/>
        <w:jc w:val="both"/>
        <w:rPr>
          <w:rFonts w:cstheme="minorHAnsi"/>
          <w:sz w:val="24"/>
          <w:szCs w:val="24"/>
        </w:rPr>
      </w:pPr>
      <w:r w:rsidRPr="00E84135">
        <w:rPr>
          <w:rFonts w:cstheme="minorHAnsi"/>
          <w:sz w:val="24"/>
          <w:szCs w:val="24"/>
        </w:rPr>
        <w:t xml:space="preserve">Se deberá indicar cuales son los valores que se garantizan de intensidad inicial (en candelas) mínima de los módulos, a una temperatura ambiente para las señales rojas, amarillas y verdes (en tablas según ángulo de observación y diámetro o lado). Ídem para intensidad mínima mantenida, asumiendo un uso normal dentro del rango de temperaturas de funcionamiento. </w:t>
      </w:r>
    </w:p>
    <w:p w14:paraId="0A59FC8F" w14:textId="77777777" w:rsidR="00E84135" w:rsidRPr="00E84135" w:rsidRDefault="00E84135" w:rsidP="00E84135">
      <w:pPr>
        <w:spacing w:line="360" w:lineRule="auto"/>
        <w:jc w:val="both"/>
        <w:rPr>
          <w:rFonts w:cstheme="minorHAnsi"/>
          <w:sz w:val="24"/>
          <w:szCs w:val="24"/>
        </w:rPr>
      </w:pPr>
      <w:r w:rsidRPr="00E84135">
        <w:rPr>
          <w:rFonts w:cstheme="minorHAnsi"/>
          <w:sz w:val="24"/>
          <w:szCs w:val="24"/>
        </w:rPr>
        <w:t>Se deberá asegurar que la falla de un punto de luz produzca pérdidas de brillo menores al cinco por ciento. A su vez, las prestaciones ópticas se deberán mantener al 80% o más durante los primeros diez años de funcionamiento.</w:t>
      </w:r>
    </w:p>
    <w:p w14:paraId="393AA46F" w14:textId="77777777" w:rsidR="00E84135" w:rsidRPr="00E84135" w:rsidRDefault="00E84135" w:rsidP="00E84135">
      <w:pPr>
        <w:spacing w:line="360" w:lineRule="auto"/>
        <w:jc w:val="both"/>
        <w:rPr>
          <w:rFonts w:cstheme="minorHAnsi"/>
          <w:sz w:val="24"/>
          <w:szCs w:val="24"/>
        </w:rPr>
      </w:pPr>
      <w:r w:rsidRPr="00E84135">
        <w:rPr>
          <w:rFonts w:cstheme="minorHAnsi"/>
          <w:sz w:val="24"/>
          <w:szCs w:val="24"/>
        </w:rPr>
        <w:t>Deberá garantizarse una señalización luminosa uniforme y tener un alto contraste con la luz solar.</w:t>
      </w:r>
    </w:p>
    <w:p w14:paraId="19C30FCB" w14:textId="77777777" w:rsidR="00E84135" w:rsidRPr="00E84135" w:rsidRDefault="00E84135" w:rsidP="00E84135">
      <w:pPr>
        <w:spacing w:line="360" w:lineRule="auto"/>
        <w:jc w:val="both"/>
        <w:rPr>
          <w:rFonts w:cstheme="minorHAnsi"/>
          <w:sz w:val="24"/>
          <w:szCs w:val="24"/>
        </w:rPr>
      </w:pPr>
      <w:r w:rsidRPr="00E84135">
        <w:rPr>
          <w:rFonts w:cstheme="minorHAnsi"/>
          <w:sz w:val="24"/>
          <w:szCs w:val="24"/>
        </w:rPr>
        <w:t xml:space="preserve">El sistema óptico en su conjunto con el reflector y la visera no deben permitir la aparición de la denominada "Luz Fantasma". </w:t>
      </w:r>
    </w:p>
    <w:p w14:paraId="6B418D93" w14:textId="77777777" w:rsidR="00E84135" w:rsidRPr="00E84135" w:rsidRDefault="00E84135" w:rsidP="00E84135">
      <w:pPr>
        <w:spacing w:line="360" w:lineRule="auto"/>
        <w:jc w:val="both"/>
        <w:rPr>
          <w:rFonts w:cstheme="minorHAnsi"/>
          <w:sz w:val="24"/>
          <w:szCs w:val="24"/>
        </w:rPr>
      </w:pPr>
      <w:r w:rsidRPr="00E84135">
        <w:rPr>
          <w:rFonts w:cstheme="minorHAnsi"/>
          <w:sz w:val="24"/>
          <w:szCs w:val="24"/>
        </w:rPr>
        <w:lastRenderedPageBreak/>
        <w:t>Se deberán indicar los parámetros medidos de cromaticidad (colores) de cada módulo asumiendo un uso normal dentro del rango de temperaturas de funcionamiento.</w:t>
      </w:r>
    </w:p>
    <w:p w14:paraId="4CE12E66" w14:textId="77777777" w:rsidR="00E84135" w:rsidRPr="00E84135" w:rsidRDefault="00E84135" w:rsidP="00E84135">
      <w:pPr>
        <w:spacing w:line="360" w:lineRule="auto"/>
        <w:jc w:val="both"/>
        <w:rPr>
          <w:rFonts w:cstheme="minorHAnsi"/>
          <w:sz w:val="24"/>
          <w:szCs w:val="24"/>
        </w:rPr>
      </w:pPr>
      <w:r w:rsidRPr="00E84135">
        <w:rPr>
          <w:rFonts w:cstheme="minorHAnsi"/>
          <w:sz w:val="24"/>
          <w:szCs w:val="24"/>
        </w:rPr>
        <w:t>Se deberá presentar evidencias de certificación de los productos.</w:t>
      </w:r>
    </w:p>
    <w:p w14:paraId="75BDCB67" w14:textId="1D536B06" w:rsidR="00E84135" w:rsidRPr="00E84135" w:rsidRDefault="00E84135" w:rsidP="002112EF">
      <w:pPr>
        <w:pStyle w:val="Ttulo2"/>
      </w:pPr>
      <w:bookmarkStart w:id="14" w:name="_Toc37834251"/>
      <w:r w:rsidRPr="00E84135">
        <w:t>Mantenimiento y garantía</w:t>
      </w:r>
      <w:bookmarkEnd w:id="14"/>
    </w:p>
    <w:p w14:paraId="0D313225" w14:textId="77777777" w:rsidR="00E84135" w:rsidRPr="00E84135" w:rsidRDefault="00E84135" w:rsidP="00E84135">
      <w:pPr>
        <w:spacing w:line="360" w:lineRule="auto"/>
        <w:jc w:val="both"/>
        <w:rPr>
          <w:rFonts w:cstheme="minorHAnsi"/>
          <w:sz w:val="24"/>
          <w:szCs w:val="24"/>
        </w:rPr>
      </w:pPr>
      <w:r w:rsidRPr="00E84135">
        <w:rPr>
          <w:rFonts w:cstheme="minorHAnsi"/>
          <w:sz w:val="24"/>
          <w:szCs w:val="24"/>
        </w:rPr>
        <w:t>Además de asegurar el mantenimiento de todos los parámetros funcionales durante 48 meses de uso, el fabricante proveerá una garantía escrita que cubra los defectos de materiales durante un período de 60 meses contados a partir de la recepción del material. Esta se limitará al remplazo de los módulos defectuosos por otros en funcionamiento en el lugar de instalación.</w:t>
      </w:r>
    </w:p>
    <w:p w14:paraId="335D7582" w14:textId="49ED1D89" w:rsidR="00E84135" w:rsidRPr="00E84135" w:rsidRDefault="00E84135" w:rsidP="002112EF">
      <w:pPr>
        <w:pStyle w:val="Ttulo2"/>
      </w:pPr>
      <w:bookmarkStart w:id="15" w:name="_Toc37834252"/>
      <w:r w:rsidRPr="00E84135">
        <w:t>Soportes</w:t>
      </w:r>
      <w:bookmarkEnd w:id="15"/>
    </w:p>
    <w:p w14:paraId="2371BB51" w14:textId="77777777" w:rsidR="00E84135" w:rsidRPr="00E84135" w:rsidRDefault="00E84135" w:rsidP="00E84135">
      <w:pPr>
        <w:spacing w:line="360" w:lineRule="auto"/>
        <w:jc w:val="both"/>
        <w:rPr>
          <w:rFonts w:cstheme="minorHAnsi"/>
          <w:sz w:val="24"/>
          <w:szCs w:val="24"/>
        </w:rPr>
      </w:pPr>
      <w:r w:rsidRPr="00E84135">
        <w:rPr>
          <w:rFonts w:cstheme="minorHAnsi"/>
          <w:sz w:val="24"/>
          <w:szCs w:val="24"/>
        </w:rPr>
        <w:t xml:space="preserve">Los soportes de los cuerpos de semáforos, deberán ser preferiblemente de aluminio, (en otro caso deberán tener un galvanizado de primera calidad para evitar la corrosión) y recubrimiento de pintura con espesores mínimos que se indicarán en la oferta. </w:t>
      </w:r>
    </w:p>
    <w:p w14:paraId="5D2BEA04" w14:textId="77777777" w:rsidR="00E84135" w:rsidRPr="00E84135" w:rsidRDefault="00E84135" w:rsidP="00E84135">
      <w:pPr>
        <w:spacing w:line="360" w:lineRule="auto"/>
        <w:jc w:val="both"/>
        <w:rPr>
          <w:rFonts w:cstheme="minorHAnsi"/>
          <w:sz w:val="24"/>
          <w:szCs w:val="24"/>
        </w:rPr>
      </w:pPr>
      <w:r w:rsidRPr="00E84135">
        <w:rPr>
          <w:rFonts w:cstheme="minorHAnsi"/>
          <w:sz w:val="24"/>
          <w:szCs w:val="24"/>
        </w:rPr>
        <w:t>Las soldaduras que sean necesarias también serán objeto de protección contra la corrosión, no aceptándose soluciones donde la calidad y duración no esté asegurada.</w:t>
      </w:r>
    </w:p>
    <w:p w14:paraId="78BD8240" w14:textId="77777777" w:rsidR="00E84135" w:rsidRPr="00E84135" w:rsidRDefault="00E84135" w:rsidP="00E84135">
      <w:pPr>
        <w:spacing w:line="360" w:lineRule="auto"/>
        <w:jc w:val="both"/>
        <w:rPr>
          <w:rFonts w:cstheme="minorHAnsi"/>
          <w:sz w:val="24"/>
          <w:szCs w:val="24"/>
        </w:rPr>
      </w:pPr>
      <w:r w:rsidRPr="00E84135">
        <w:rPr>
          <w:rFonts w:cstheme="minorHAnsi"/>
          <w:sz w:val="24"/>
          <w:szCs w:val="24"/>
        </w:rPr>
        <w:t>Los soportes se confeccionarán de tal forma que los conductores de alimentación de los semáforos estén enhebrados siempre por dentro de las estructuras, no quedando visibles ni al alcance de la mano de los peatones.</w:t>
      </w:r>
    </w:p>
    <w:p w14:paraId="193AD98C" w14:textId="77777777" w:rsidR="00E84135" w:rsidRPr="00E84135" w:rsidRDefault="00E84135" w:rsidP="00E84135">
      <w:pPr>
        <w:spacing w:line="360" w:lineRule="auto"/>
        <w:jc w:val="both"/>
        <w:rPr>
          <w:rFonts w:cstheme="minorHAnsi"/>
          <w:sz w:val="24"/>
          <w:szCs w:val="24"/>
        </w:rPr>
      </w:pPr>
      <w:r w:rsidRPr="00E84135">
        <w:rPr>
          <w:rFonts w:cstheme="minorHAnsi"/>
          <w:sz w:val="24"/>
          <w:szCs w:val="24"/>
        </w:rPr>
        <w:t>Se aplicarán las mismas condiciones generales que se indican para las columnas, en cuanto a protección anticorrosiva y pintura. Los soportes permitirán adoptar la orientación necesaria de los semáforos, manteniendo la hermeticidad contra el agua o la humedad y permitiendo el paso de los conductores desde la columna al semáforo. Estos podrán girar 90 grados a cada lado de la posición normal sin interferir con aquellos montados en el mismo soporte.</w:t>
      </w:r>
    </w:p>
    <w:p w14:paraId="01B892ED" w14:textId="7F5E0811" w:rsidR="00E84135" w:rsidRPr="00E84135" w:rsidRDefault="00E84135" w:rsidP="002112EF">
      <w:pPr>
        <w:pStyle w:val="Ttulo1"/>
      </w:pPr>
      <w:bookmarkStart w:id="16" w:name="_Toc37834253"/>
      <w:r w:rsidRPr="00E84135">
        <w:t>Controladores</w:t>
      </w:r>
      <w:bookmarkEnd w:id="16"/>
    </w:p>
    <w:p w14:paraId="20E93104" w14:textId="77777777" w:rsidR="00E84135" w:rsidRPr="00E84135" w:rsidRDefault="00E84135" w:rsidP="00E84135">
      <w:pPr>
        <w:spacing w:line="360" w:lineRule="auto"/>
        <w:jc w:val="both"/>
        <w:rPr>
          <w:rFonts w:cstheme="minorHAnsi"/>
          <w:sz w:val="24"/>
          <w:szCs w:val="24"/>
        </w:rPr>
      </w:pPr>
      <w:r w:rsidRPr="00E84135">
        <w:rPr>
          <w:rFonts w:cstheme="minorHAnsi"/>
          <w:sz w:val="24"/>
          <w:szCs w:val="24"/>
        </w:rPr>
        <w:t xml:space="preserve">Deberán ser electrónicos digitales con memoria programable y reloj. </w:t>
      </w:r>
    </w:p>
    <w:p w14:paraId="2D0A32A9" w14:textId="77777777" w:rsidR="00E84135" w:rsidRPr="00E84135" w:rsidRDefault="00E84135" w:rsidP="00E84135">
      <w:pPr>
        <w:spacing w:line="360" w:lineRule="auto"/>
        <w:jc w:val="both"/>
        <w:rPr>
          <w:rFonts w:cstheme="minorHAnsi"/>
          <w:sz w:val="24"/>
          <w:szCs w:val="24"/>
        </w:rPr>
      </w:pPr>
      <w:r w:rsidRPr="00E84135">
        <w:rPr>
          <w:rFonts w:cstheme="minorHAnsi"/>
          <w:sz w:val="24"/>
          <w:szCs w:val="24"/>
        </w:rPr>
        <w:t xml:space="preserve">Los controladores tendrán, como mínimo, los siguientes modos de funcionamiento: </w:t>
      </w:r>
    </w:p>
    <w:p w14:paraId="7B463D74" w14:textId="77777777" w:rsidR="00E84135" w:rsidRPr="00E84135" w:rsidRDefault="00E84135" w:rsidP="00E84135">
      <w:pPr>
        <w:spacing w:line="360" w:lineRule="auto"/>
        <w:jc w:val="both"/>
        <w:rPr>
          <w:rFonts w:cstheme="minorHAnsi"/>
          <w:sz w:val="24"/>
          <w:szCs w:val="24"/>
        </w:rPr>
      </w:pPr>
      <w:r w:rsidRPr="00E84135">
        <w:rPr>
          <w:rFonts w:cstheme="minorHAnsi"/>
          <w:sz w:val="24"/>
          <w:szCs w:val="24"/>
        </w:rPr>
        <w:t>1)</w:t>
      </w:r>
      <w:r w:rsidRPr="00E84135">
        <w:rPr>
          <w:rFonts w:cstheme="minorHAnsi"/>
          <w:sz w:val="24"/>
          <w:szCs w:val="24"/>
        </w:rPr>
        <w:tab/>
        <w:t>Rígido (con posibilidad de sincronización);</w:t>
      </w:r>
    </w:p>
    <w:p w14:paraId="50B096F5" w14:textId="77777777" w:rsidR="00E84135" w:rsidRPr="00E84135" w:rsidRDefault="00E84135" w:rsidP="00E84135">
      <w:pPr>
        <w:spacing w:line="360" w:lineRule="auto"/>
        <w:jc w:val="both"/>
        <w:rPr>
          <w:rFonts w:cstheme="minorHAnsi"/>
          <w:sz w:val="24"/>
          <w:szCs w:val="24"/>
        </w:rPr>
      </w:pPr>
      <w:r w:rsidRPr="00E84135">
        <w:rPr>
          <w:rFonts w:cstheme="minorHAnsi"/>
          <w:sz w:val="24"/>
          <w:szCs w:val="24"/>
        </w:rPr>
        <w:t>2)</w:t>
      </w:r>
      <w:r w:rsidRPr="00E84135">
        <w:rPr>
          <w:rFonts w:cstheme="minorHAnsi"/>
          <w:sz w:val="24"/>
          <w:szCs w:val="24"/>
        </w:rPr>
        <w:tab/>
        <w:t>Por demanda (vehicular, peatonal o ambas);</w:t>
      </w:r>
    </w:p>
    <w:p w14:paraId="219C0CBF" w14:textId="77777777" w:rsidR="00E84135" w:rsidRPr="00E84135" w:rsidRDefault="00E84135" w:rsidP="00E84135">
      <w:pPr>
        <w:spacing w:line="360" w:lineRule="auto"/>
        <w:jc w:val="both"/>
        <w:rPr>
          <w:rFonts w:cstheme="minorHAnsi"/>
          <w:sz w:val="24"/>
          <w:szCs w:val="24"/>
        </w:rPr>
      </w:pPr>
      <w:r w:rsidRPr="00E84135">
        <w:rPr>
          <w:rFonts w:cstheme="minorHAnsi"/>
          <w:sz w:val="24"/>
          <w:szCs w:val="24"/>
        </w:rPr>
        <w:lastRenderedPageBreak/>
        <w:t>3)</w:t>
      </w:r>
      <w:r w:rsidRPr="00E84135">
        <w:rPr>
          <w:rFonts w:cstheme="minorHAnsi"/>
          <w:sz w:val="24"/>
          <w:szCs w:val="24"/>
        </w:rPr>
        <w:tab/>
        <w:t>Destellante (titilante, amarillo en vía principal y rojo en secundaria)</w:t>
      </w:r>
    </w:p>
    <w:p w14:paraId="7AA1C9C2" w14:textId="77777777" w:rsidR="00E84135" w:rsidRPr="00E84135" w:rsidRDefault="00E84135" w:rsidP="00E84135">
      <w:pPr>
        <w:spacing w:line="360" w:lineRule="auto"/>
        <w:jc w:val="both"/>
        <w:rPr>
          <w:rFonts w:cstheme="minorHAnsi"/>
          <w:sz w:val="24"/>
          <w:szCs w:val="24"/>
        </w:rPr>
      </w:pPr>
      <w:r w:rsidRPr="00E84135">
        <w:rPr>
          <w:rFonts w:cstheme="minorHAnsi"/>
          <w:sz w:val="24"/>
          <w:szCs w:val="24"/>
        </w:rPr>
        <w:t>4)</w:t>
      </w:r>
      <w:r w:rsidRPr="00E84135">
        <w:rPr>
          <w:rFonts w:cstheme="minorHAnsi"/>
          <w:sz w:val="24"/>
          <w:szCs w:val="24"/>
        </w:rPr>
        <w:tab/>
        <w:t>Coordinado por GPS (en cualquiera de los modos)</w:t>
      </w:r>
    </w:p>
    <w:p w14:paraId="2BC61788" w14:textId="77777777" w:rsidR="00E84135" w:rsidRPr="00E84135" w:rsidRDefault="00E84135" w:rsidP="00E84135">
      <w:pPr>
        <w:spacing w:line="360" w:lineRule="auto"/>
        <w:jc w:val="both"/>
        <w:rPr>
          <w:rFonts w:cstheme="minorHAnsi"/>
          <w:sz w:val="24"/>
          <w:szCs w:val="24"/>
        </w:rPr>
      </w:pPr>
      <w:r w:rsidRPr="00E84135">
        <w:rPr>
          <w:rFonts w:cstheme="minorHAnsi"/>
          <w:sz w:val="24"/>
          <w:szCs w:val="24"/>
        </w:rPr>
        <w:t>Un controlador podrá atender, como mínimo, hasta tres intersecciones diferentes, debiendo estar ubicado en la misma arteria.</w:t>
      </w:r>
    </w:p>
    <w:p w14:paraId="288BFAD8" w14:textId="77777777" w:rsidR="002112EF" w:rsidRDefault="00E84135" w:rsidP="002112EF">
      <w:pPr>
        <w:spacing w:line="360" w:lineRule="auto"/>
        <w:jc w:val="both"/>
        <w:rPr>
          <w:rFonts w:cstheme="minorHAnsi"/>
          <w:sz w:val="24"/>
          <w:szCs w:val="24"/>
        </w:rPr>
      </w:pPr>
      <w:r w:rsidRPr="00E84135">
        <w:rPr>
          <w:rFonts w:cstheme="minorHAnsi"/>
          <w:sz w:val="24"/>
          <w:szCs w:val="24"/>
        </w:rPr>
        <w:t>Se podrá cambiar de modo de funcionamiento por programa (p.ej.: modo rígido desde las seis a las 24 horas y, destellante entre cero y seis horas).</w:t>
      </w:r>
    </w:p>
    <w:p w14:paraId="2820A695" w14:textId="6D582565" w:rsidR="00E84135" w:rsidRPr="002112EF" w:rsidRDefault="002112EF" w:rsidP="002112EF">
      <w:pPr>
        <w:pStyle w:val="Ttulo2"/>
        <w:rPr>
          <w:rFonts w:cstheme="minorHAnsi"/>
          <w:szCs w:val="24"/>
        </w:rPr>
      </w:pPr>
      <w:bookmarkStart w:id="17" w:name="_Toc37834254"/>
      <w:r>
        <w:rPr>
          <w:rFonts w:cstheme="minorHAnsi"/>
          <w:szCs w:val="24"/>
        </w:rPr>
        <w:t>Mod</w:t>
      </w:r>
      <w:r w:rsidR="00E84135" w:rsidRPr="00E84135">
        <w:t>o rígido</w:t>
      </w:r>
      <w:bookmarkEnd w:id="17"/>
    </w:p>
    <w:p w14:paraId="07A36B7D" w14:textId="77777777" w:rsidR="00E84135" w:rsidRPr="00E84135" w:rsidRDefault="00E84135" w:rsidP="00E84135">
      <w:pPr>
        <w:spacing w:line="360" w:lineRule="auto"/>
        <w:jc w:val="both"/>
        <w:rPr>
          <w:rFonts w:cstheme="minorHAnsi"/>
          <w:sz w:val="24"/>
          <w:szCs w:val="24"/>
        </w:rPr>
      </w:pPr>
      <w:r w:rsidRPr="00E84135">
        <w:rPr>
          <w:rFonts w:cstheme="minorHAnsi"/>
          <w:sz w:val="24"/>
          <w:szCs w:val="24"/>
        </w:rPr>
        <w:t>Permitirán un mínimo de cinco ciclos diferentes, a programar por la Administración y que quedarán almacenados en el controlador para su uso, o que serán fácilmente utilizables.</w:t>
      </w:r>
    </w:p>
    <w:p w14:paraId="235F4738" w14:textId="77777777" w:rsidR="00E84135" w:rsidRPr="00E84135" w:rsidRDefault="00E84135" w:rsidP="00E84135">
      <w:pPr>
        <w:spacing w:line="360" w:lineRule="auto"/>
        <w:jc w:val="both"/>
        <w:rPr>
          <w:rFonts w:cstheme="minorHAnsi"/>
          <w:sz w:val="24"/>
          <w:szCs w:val="24"/>
        </w:rPr>
      </w:pPr>
      <w:r w:rsidRPr="00E84135">
        <w:rPr>
          <w:rFonts w:cstheme="minorHAnsi"/>
          <w:sz w:val="24"/>
          <w:szCs w:val="24"/>
        </w:rPr>
        <w:t>El controlador contará con un reloj que permitirá como mínimo cambiar los ciclos de acuerdo a la hora del día y el día de la semana, según los cinco o más programas almacenados.</w:t>
      </w:r>
    </w:p>
    <w:p w14:paraId="193BFAA6" w14:textId="77777777" w:rsidR="00E84135" w:rsidRPr="00E84135" w:rsidRDefault="00E84135" w:rsidP="00E84135">
      <w:pPr>
        <w:spacing w:line="360" w:lineRule="auto"/>
        <w:jc w:val="both"/>
        <w:rPr>
          <w:rFonts w:cstheme="minorHAnsi"/>
          <w:sz w:val="24"/>
          <w:szCs w:val="24"/>
        </w:rPr>
      </w:pPr>
      <w:r w:rsidRPr="00E84135">
        <w:rPr>
          <w:rFonts w:cstheme="minorHAnsi"/>
          <w:sz w:val="24"/>
          <w:szCs w:val="24"/>
        </w:rPr>
        <w:t>También se podrá variar por programa el tiempo de sincronismo.</w:t>
      </w:r>
    </w:p>
    <w:p w14:paraId="2D0B7AD6" w14:textId="77777777" w:rsidR="00E84135" w:rsidRPr="00E84135" w:rsidRDefault="00E84135" w:rsidP="00E84135">
      <w:pPr>
        <w:spacing w:line="360" w:lineRule="auto"/>
        <w:jc w:val="both"/>
        <w:rPr>
          <w:rFonts w:cstheme="minorHAnsi"/>
          <w:sz w:val="24"/>
          <w:szCs w:val="24"/>
        </w:rPr>
      </w:pPr>
      <w:r w:rsidRPr="00E84135">
        <w:rPr>
          <w:rFonts w:cstheme="minorHAnsi"/>
          <w:sz w:val="24"/>
          <w:szCs w:val="24"/>
        </w:rPr>
        <w:t>Los tiempos podrán variar entre 0 y 120 s en el caso de las señales verdes, y 0 a 10 s en las amarillas.</w:t>
      </w:r>
    </w:p>
    <w:p w14:paraId="2C7436FD" w14:textId="77777777" w:rsidR="00E84135" w:rsidRPr="00E84135" w:rsidRDefault="00E84135" w:rsidP="00E84135">
      <w:pPr>
        <w:spacing w:line="360" w:lineRule="auto"/>
        <w:jc w:val="both"/>
        <w:rPr>
          <w:rFonts w:cstheme="minorHAnsi"/>
          <w:sz w:val="24"/>
          <w:szCs w:val="24"/>
        </w:rPr>
      </w:pPr>
      <w:r w:rsidRPr="00E84135">
        <w:rPr>
          <w:rFonts w:cstheme="minorHAnsi"/>
          <w:sz w:val="24"/>
          <w:szCs w:val="24"/>
        </w:rPr>
        <w:t xml:space="preserve">Existirá la posibilidad de programar tiempos rojo-rojo entre estados. </w:t>
      </w:r>
    </w:p>
    <w:p w14:paraId="016E5A30" w14:textId="699F97A3" w:rsidR="00E84135" w:rsidRPr="00E84135" w:rsidRDefault="00E84135" w:rsidP="002112EF">
      <w:pPr>
        <w:pStyle w:val="Ttulo2"/>
      </w:pPr>
      <w:bookmarkStart w:id="18" w:name="_Toc37834255"/>
      <w:r w:rsidRPr="00E84135">
        <w:t>Modo por demanda</w:t>
      </w:r>
      <w:bookmarkEnd w:id="18"/>
    </w:p>
    <w:p w14:paraId="0186817D" w14:textId="77777777" w:rsidR="00E84135" w:rsidRPr="00E84135" w:rsidRDefault="00E84135" w:rsidP="00E84135">
      <w:pPr>
        <w:spacing w:line="360" w:lineRule="auto"/>
        <w:jc w:val="both"/>
        <w:rPr>
          <w:rFonts w:cstheme="minorHAnsi"/>
          <w:sz w:val="24"/>
          <w:szCs w:val="24"/>
        </w:rPr>
      </w:pPr>
      <w:r w:rsidRPr="00E84135">
        <w:rPr>
          <w:rFonts w:cstheme="minorHAnsi"/>
          <w:sz w:val="24"/>
          <w:szCs w:val="24"/>
        </w:rPr>
        <w:t>Ante una demanda peatonal o vehicular, el controlador deberá discernir si la vía principal ha estado en verde un tiempo prefijado (programable), y si es así armonizará con la secuencia que otorgue paso a los peatones o vehículos solicitantes, sino mantendrá en verde la vía principal, hasta alcanzar el tiempo verde mínimo para recién comenzar dicha transición.</w:t>
      </w:r>
    </w:p>
    <w:p w14:paraId="202245AC" w14:textId="2A894379" w:rsidR="00E84135" w:rsidRPr="00E84135" w:rsidRDefault="00E84135" w:rsidP="002112EF">
      <w:pPr>
        <w:pStyle w:val="Ttulo2"/>
      </w:pPr>
      <w:bookmarkStart w:id="19" w:name="_Toc37834256"/>
      <w:r w:rsidRPr="00E84135">
        <w:t>Modo destellante</w:t>
      </w:r>
      <w:bookmarkEnd w:id="19"/>
    </w:p>
    <w:p w14:paraId="5DD78B5E" w14:textId="77777777" w:rsidR="00E84135" w:rsidRPr="00E84135" w:rsidRDefault="00E84135" w:rsidP="00E84135">
      <w:pPr>
        <w:spacing w:line="360" w:lineRule="auto"/>
        <w:jc w:val="both"/>
        <w:rPr>
          <w:rFonts w:cstheme="minorHAnsi"/>
          <w:sz w:val="24"/>
          <w:szCs w:val="24"/>
        </w:rPr>
      </w:pPr>
      <w:r w:rsidRPr="00E84135">
        <w:rPr>
          <w:rFonts w:cstheme="minorHAnsi"/>
          <w:sz w:val="24"/>
          <w:szCs w:val="24"/>
        </w:rPr>
        <w:t>En el modo titilante, las lámparas encenderán a una frecuencia aproximada de 30 ciclos por minuto, amarillo por vía principal y rojo por vía secundaria.</w:t>
      </w:r>
    </w:p>
    <w:p w14:paraId="310A8953" w14:textId="6EEE4B13" w:rsidR="00E84135" w:rsidRPr="00E84135" w:rsidRDefault="00E84135" w:rsidP="002112EF">
      <w:pPr>
        <w:pStyle w:val="Ttulo2"/>
      </w:pPr>
      <w:bookmarkStart w:id="20" w:name="_Toc37834257"/>
      <w:r w:rsidRPr="00E84135">
        <w:t>Programación</w:t>
      </w:r>
      <w:bookmarkEnd w:id="20"/>
    </w:p>
    <w:p w14:paraId="7C431428" w14:textId="77777777" w:rsidR="00E84135" w:rsidRPr="00E84135" w:rsidRDefault="00E84135" w:rsidP="00E84135">
      <w:pPr>
        <w:spacing w:line="360" w:lineRule="auto"/>
        <w:jc w:val="both"/>
        <w:rPr>
          <w:rFonts w:cstheme="minorHAnsi"/>
          <w:sz w:val="24"/>
          <w:szCs w:val="24"/>
        </w:rPr>
      </w:pPr>
      <w:r w:rsidRPr="00E84135">
        <w:rPr>
          <w:rFonts w:cstheme="minorHAnsi"/>
          <w:sz w:val="24"/>
          <w:szCs w:val="24"/>
        </w:rPr>
        <w:t xml:space="preserve">El equipo debe permitir varios programas de trabajo diferentes, los que podrán seleccionarse por un reloj horario-anual, de acuerdo a la hora del día y del día de la </w:t>
      </w:r>
      <w:r w:rsidRPr="00E84135">
        <w:rPr>
          <w:rFonts w:cstheme="minorHAnsi"/>
          <w:sz w:val="24"/>
          <w:szCs w:val="24"/>
        </w:rPr>
        <w:lastRenderedPageBreak/>
        <w:t>semana y guardando los eventos del cruce con su fecha y hora, así como también en forma remota por la interconexión con un sistema central.</w:t>
      </w:r>
    </w:p>
    <w:p w14:paraId="34694F06" w14:textId="77777777" w:rsidR="00E84135" w:rsidRPr="00E84135" w:rsidRDefault="00E84135" w:rsidP="00E84135">
      <w:pPr>
        <w:spacing w:line="360" w:lineRule="auto"/>
        <w:jc w:val="both"/>
        <w:rPr>
          <w:rFonts w:cstheme="minorHAnsi"/>
          <w:sz w:val="24"/>
          <w:szCs w:val="24"/>
        </w:rPr>
      </w:pPr>
      <w:r w:rsidRPr="00E84135">
        <w:rPr>
          <w:rFonts w:cstheme="minorHAnsi"/>
          <w:sz w:val="24"/>
          <w:szCs w:val="24"/>
        </w:rPr>
        <w:t>Para cada programa se podrá determinar su ciclo, desfase (offset) y modo de funcionamiento. Cada programa debe permitir un mínimo de cuatro fases más las intermedias: amarillo, destellante peatonal y todo rojo. La secuencia de luces vehiculares para el pasaje de verde a rojo será verde-amarillo-rojo y el pasaje de rojo a verde será directo. La secuencia de luces peatonales será: de blanco a anaranjado, blanco-anaranjado destellante-anaranjado y el pasaje de anaranjado a blanco será directo.</w:t>
      </w:r>
    </w:p>
    <w:p w14:paraId="470962D6" w14:textId="77777777" w:rsidR="00E84135" w:rsidRPr="00E84135" w:rsidRDefault="00E84135" w:rsidP="00E84135">
      <w:pPr>
        <w:spacing w:line="360" w:lineRule="auto"/>
        <w:jc w:val="both"/>
        <w:rPr>
          <w:rFonts w:cstheme="minorHAnsi"/>
          <w:sz w:val="24"/>
          <w:szCs w:val="24"/>
        </w:rPr>
      </w:pPr>
      <w:r w:rsidRPr="00E84135">
        <w:rPr>
          <w:rFonts w:cstheme="minorHAnsi"/>
          <w:sz w:val="24"/>
          <w:szCs w:val="24"/>
        </w:rPr>
        <w:t>En cada fase del programa se podrá determinar el estado de cada grupo de lámparas, tiempos de verde mínimos, tiempos máximos, si la fase es demandada o no y cuál de las entradas de detector la demandará esa.</w:t>
      </w:r>
    </w:p>
    <w:p w14:paraId="4E21746C" w14:textId="77777777" w:rsidR="00E84135" w:rsidRPr="00E84135" w:rsidRDefault="00E84135" w:rsidP="00E84135">
      <w:pPr>
        <w:spacing w:line="360" w:lineRule="auto"/>
        <w:jc w:val="both"/>
        <w:rPr>
          <w:rFonts w:cstheme="minorHAnsi"/>
          <w:sz w:val="24"/>
          <w:szCs w:val="24"/>
        </w:rPr>
      </w:pPr>
      <w:r w:rsidRPr="00E84135">
        <w:rPr>
          <w:rFonts w:cstheme="minorHAnsi"/>
          <w:sz w:val="24"/>
          <w:szCs w:val="24"/>
        </w:rPr>
        <w:t>Todas las temporizaciones deben ser programables en pasos de un segundo y deberán ser controladas por un reloj interno a cristal.</w:t>
      </w:r>
    </w:p>
    <w:p w14:paraId="747C346A" w14:textId="77777777" w:rsidR="00E84135" w:rsidRPr="00E84135" w:rsidRDefault="00E84135" w:rsidP="00E84135">
      <w:pPr>
        <w:spacing w:line="360" w:lineRule="auto"/>
        <w:jc w:val="both"/>
        <w:rPr>
          <w:rFonts w:cstheme="minorHAnsi"/>
          <w:sz w:val="24"/>
          <w:szCs w:val="24"/>
        </w:rPr>
      </w:pPr>
      <w:r w:rsidRPr="00E84135">
        <w:rPr>
          <w:rFonts w:cstheme="minorHAnsi"/>
          <w:sz w:val="24"/>
          <w:szCs w:val="24"/>
        </w:rPr>
        <w:t>El equipo debe permitir la selección de cualquiera de sus programas de trabajo o estado destellante según la hora y día de la semana (reloj horario semanal). Se deberá poder programar un mínimo de seis cambios de programa por día.</w:t>
      </w:r>
    </w:p>
    <w:p w14:paraId="5BF3B6E6" w14:textId="77777777" w:rsidR="00E84135" w:rsidRPr="00E84135" w:rsidRDefault="00E84135" w:rsidP="00E84135">
      <w:pPr>
        <w:spacing w:line="360" w:lineRule="auto"/>
        <w:jc w:val="both"/>
        <w:rPr>
          <w:rFonts w:cstheme="minorHAnsi"/>
          <w:sz w:val="24"/>
          <w:szCs w:val="24"/>
        </w:rPr>
      </w:pPr>
      <w:r w:rsidRPr="00E84135">
        <w:rPr>
          <w:rFonts w:cstheme="minorHAnsi"/>
          <w:sz w:val="24"/>
          <w:szCs w:val="24"/>
        </w:rPr>
        <w:t>En caso de falta de energía (corte en el suministro), el reloj el controlador no perderá su hora o programación. La precisión del reloj debe ser tal que el error en su hora sea menor a un segundo por día.</w:t>
      </w:r>
    </w:p>
    <w:p w14:paraId="2FBC8114" w14:textId="77777777" w:rsidR="00E84135" w:rsidRPr="00E84135" w:rsidRDefault="00E84135" w:rsidP="00E84135">
      <w:pPr>
        <w:spacing w:line="360" w:lineRule="auto"/>
        <w:jc w:val="both"/>
        <w:rPr>
          <w:rFonts w:cstheme="minorHAnsi"/>
          <w:sz w:val="24"/>
          <w:szCs w:val="24"/>
        </w:rPr>
      </w:pPr>
      <w:r w:rsidRPr="00E84135">
        <w:rPr>
          <w:rFonts w:cstheme="minorHAnsi"/>
          <w:sz w:val="24"/>
          <w:szCs w:val="24"/>
        </w:rPr>
        <w:t>Los parámetros de c/u de los programas (tiempo de sincronismo, duración del ciclo y de c/u de sus estados) serán modificables e independientes entre sí. El tiempo de la duración de c/u de los estados podrá variarse desde cero a infinito.</w:t>
      </w:r>
    </w:p>
    <w:p w14:paraId="6DB0A8D7" w14:textId="77777777" w:rsidR="00E84135" w:rsidRPr="00E84135" w:rsidRDefault="00E84135" w:rsidP="00E84135">
      <w:pPr>
        <w:spacing w:line="360" w:lineRule="auto"/>
        <w:jc w:val="both"/>
        <w:rPr>
          <w:rFonts w:cstheme="minorHAnsi"/>
          <w:sz w:val="24"/>
          <w:szCs w:val="24"/>
        </w:rPr>
      </w:pPr>
      <w:r w:rsidRPr="00E84135">
        <w:rPr>
          <w:rFonts w:cstheme="minorHAnsi"/>
          <w:sz w:val="24"/>
          <w:szCs w:val="24"/>
        </w:rPr>
        <w:t xml:space="preserve">La modificación de parámetros y programación del reloj se hará en sitio, mediante un dispositivo adecuado, el que se encontrará en el controlador en forma permanente y se colocará en un compartimento del contenedor, de tal forma que la reprogramación se efectúe sin necesidad de abrirlo con la electrónica del mismo contenedor. Este deberá estar debidamente protegido frente al acceso a personas no autorizadas. Permitirá, en caso de fallas en la entrada de datos, luego de cierto lapso predeterminado, que el </w:t>
      </w:r>
      <w:r w:rsidRPr="00E84135">
        <w:rPr>
          <w:rFonts w:cstheme="minorHAnsi"/>
          <w:sz w:val="24"/>
          <w:szCs w:val="24"/>
        </w:rPr>
        <w:lastRenderedPageBreak/>
        <w:t>dispositivo vuelva a la condición previa al comienzo de la operación de modificación, sin introducir variantes en los programas almacenados, y sin cambiar el modo de funcionamiento del controlador.</w:t>
      </w:r>
    </w:p>
    <w:p w14:paraId="2D4A325F" w14:textId="77777777" w:rsidR="00E84135" w:rsidRPr="00E84135" w:rsidRDefault="00E84135" w:rsidP="00E84135">
      <w:pPr>
        <w:spacing w:line="360" w:lineRule="auto"/>
        <w:jc w:val="both"/>
        <w:rPr>
          <w:rFonts w:cstheme="minorHAnsi"/>
          <w:sz w:val="24"/>
          <w:szCs w:val="24"/>
        </w:rPr>
      </w:pPr>
      <w:r w:rsidRPr="00E84135">
        <w:rPr>
          <w:rFonts w:cstheme="minorHAnsi"/>
          <w:sz w:val="24"/>
          <w:szCs w:val="24"/>
        </w:rPr>
        <w:t>El sistema estará protegido de tal forma que solo permite modificación de tiempos de</w:t>
      </w:r>
    </w:p>
    <w:p w14:paraId="127B4081" w14:textId="77777777" w:rsidR="00E84135" w:rsidRPr="00E84135" w:rsidRDefault="00E84135" w:rsidP="00E84135">
      <w:pPr>
        <w:spacing w:line="360" w:lineRule="auto"/>
        <w:jc w:val="both"/>
        <w:rPr>
          <w:rFonts w:cstheme="minorHAnsi"/>
          <w:sz w:val="24"/>
          <w:szCs w:val="24"/>
        </w:rPr>
      </w:pPr>
      <w:r w:rsidRPr="00E84135">
        <w:rPr>
          <w:rFonts w:cstheme="minorHAnsi"/>
          <w:sz w:val="24"/>
          <w:szCs w:val="24"/>
        </w:rPr>
        <w:t>acuerdo a la estructura de estados prevista.</w:t>
      </w:r>
    </w:p>
    <w:p w14:paraId="1D664E1C" w14:textId="77777777" w:rsidR="00E84135" w:rsidRPr="00E84135" w:rsidRDefault="00E84135" w:rsidP="00E84135">
      <w:pPr>
        <w:spacing w:line="360" w:lineRule="auto"/>
        <w:jc w:val="both"/>
        <w:rPr>
          <w:rFonts w:cstheme="minorHAnsi"/>
          <w:sz w:val="24"/>
          <w:szCs w:val="24"/>
        </w:rPr>
      </w:pPr>
      <w:r w:rsidRPr="00E84135">
        <w:rPr>
          <w:rFonts w:cstheme="minorHAnsi"/>
          <w:sz w:val="24"/>
          <w:szCs w:val="24"/>
        </w:rPr>
        <w:t>Ninguna operación incorrecta cambiará la estructura del ciclo básico, ni otro parámetro interno al controlador.</w:t>
      </w:r>
    </w:p>
    <w:p w14:paraId="78CF5951" w14:textId="118EB7A9" w:rsidR="00E84135" w:rsidRPr="00E84135" w:rsidRDefault="00E84135" w:rsidP="002366EC">
      <w:pPr>
        <w:pStyle w:val="Ttulo2"/>
      </w:pPr>
      <w:bookmarkStart w:id="21" w:name="_Toc37834258"/>
      <w:r w:rsidRPr="00E84135">
        <w:t>Características técnicas de funcionamiento</w:t>
      </w:r>
      <w:bookmarkEnd w:id="21"/>
    </w:p>
    <w:p w14:paraId="45A26DC3" w14:textId="77777777" w:rsidR="00E84135" w:rsidRPr="00E84135" w:rsidRDefault="00E84135" w:rsidP="00E84135">
      <w:pPr>
        <w:spacing w:line="360" w:lineRule="auto"/>
        <w:jc w:val="both"/>
        <w:rPr>
          <w:rFonts w:cstheme="minorHAnsi"/>
          <w:sz w:val="24"/>
          <w:szCs w:val="24"/>
        </w:rPr>
      </w:pPr>
      <w:r w:rsidRPr="00E84135">
        <w:rPr>
          <w:rFonts w:cstheme="minorHAnsi"/>
          <w:sz w:val="24"/>
          <w:szCs w:val="24"/>
        </w:rPr>
        <w:t xml:space="preserve">El controlador deberá estar construido con componentes electrónicos que permitan un funcionamiento correcto dentro del rango de temperatura ambiente -10° a +60° centígrados. Es también importante, que los diferentes módulos tengan indicadores luminosos para todas las funciones principales, permitiendo una mayor rapidez en el diagnóstico de las fallas. </w:t>
      </w:r>
    </w:p>
    <w:p w14:paraId="0359BD11" w14:textId="77777777" w:rsidR="00E84135" w:rsidRPr="00E84135" w:rsidRDefault="00E84135" w:rsidP="00E84135">
      <w:pPr>
        <w:spacing w:line="360" w:lineRule="auto"/>
        <w:jc w:val="both"/>
        <w:rPr>
          <w:rFonts w:cstheme="minorHAnsi"/>
          <w:sz w:val="24"/>
          <w:szCs w:val="24"/>
        </w:rPr>
      </w:pPr>
      <w:r w:rsidRPr="00E84135">
        <w:rPr>
          <w:rFonts w:cstheme="minorHAnsi"/>
          <w:sz w:val="24"/>
          <w:szCs w:val="24"/>
        </w:rPr>
        <w:t>El comando de las lámparas debe ser por medio de “triacs”. El controlador deberá manejar, como mínimo, seis grupos de salida de lámparas verdes, amarillas y rojas. Cada grupo de salida de lámparas deberá tener, por lo menos, un fusible rápido para protección de los “triacs”. Se dará preferencia a equipos que sean expansibles a un número mayor de grupos de lámparas.</w:t>
      </w:r>
    </w:p>
    <w:p w14:paraId="179DC521" w14:textId="77777777" w:rsidR="00E84135" w:rsidRPr="00E84135" w:rsidRDefault="00E84135" w:rsidP="00E84135">
      <w:pPr>
        <w:spacing w:line="360" w:lineRule="auto"/>
        <w:jc w:val="both"/>
        <w:rPr>
          <w:rFonts w:cstheme="minorHAnsi"/>
          <w:sz w:val="24"/>
          <w:szCs w:val="24"/>
        </w:rPr>
      </w:pPr>
      <w:r w:rsidRPr="00E84135">
        <w:rPr>
          <w:rFonts w:cstheme="minorHAnsi"/>
          <w:sz w:val="24"/>
          <w:szCs w:val="24"/>
        </w:rPr>
        <w:t>Secuencia de partida: Al encender el controlador o cuando la tensión de red se restablece luego de una falla en la misma, el equipo pasará a destellante por un período de seis a diez segundos, previo a la entrada en funcionamiento el programa seleccionado por el control maestro o su reloj horario.</w:t>
      </w:r>
    </w:p>
    <w:p w14:paraId="1AA0350B" w14:textId="77777777" w:rsidR="00E84135" w:rsidRPr="00E84135" w:rsidRDefault="00E84135" w:rsidP="00E84135">
      <w:pPr>
        <w:spacing w:line="360" w:lineRule="auto"/>
        <w:jc w:val="both"/>
        <w:rPr>
          <w:rFonts w:cstheme="minorHAnsi"/>
          <w:sz w:val="24"/>
          <w:szCs w:val="24"/>
        </w:rPr>
      </w:pPr>
      <w:r w:rsidRPr="00E84135">
        <w:rPr>
          <w:rFonts w:cstheme="minorHAnsi"/>
          <w:sz w:val="24"/>
          <w:szCs w:val="24"/>
        </w:rPr>
        <w:t>En el estado destellante se debe poder determinar, por programación, cuáles grupos de lámparas destellarán en amarillo, cuáles en rojo y cuales permanecerán apagados.</w:t>
      </w:r>
    </w:p>
    <w:p w14:paraId="0F1FA75D" w14:textId="77777777" w:rsidR="00E84135" w:rsidRPr="00E84135" w:rsidRDefault="00E84135" w:rsidP="00E84135">
      <w:pPr>
        <w:spacing w:line="360" w:lineRule="auto"/>
        <w:jc w:val="both"/>
        <w:rPr>
          <w:rFonts w:cstheme="minorHAnsi"/>
          <w:sz w:val="24"/>
          <w:szCs w:val="24"/>
        </w:rPr>
      </w:pPr>
      <w:r w:rsidRPr="00E84135">
        <w:rPr>
          <w:rFonts w:cstheme="minorHAnsi"/>
          <w:sz w:val="24"/>
          <w:szCs w:val="24"/>
        </w:rPr>
        <w:t>Los equipos controladores estarán diseñados para poder trabajar con una tensión de línea de alimentación de 220 voltios alterna (+/- 15%) y 50 ciclos monofásica, que es la suministrada por UTE. Ambos polos tienen potencial respecto a tierra (no existe cable neutro).</w:t>
      </w:r>
    </w:p>
    <w:p w14:paraId="4C644F62" w14:textId="77777777" w:rsidR="00E84135" w:rsidRPr="00E84135" w:rsidRDefault="00E84135" w:rsidP="00E84135">
      <w:pPr>
        <w:spacing w:line="360" w:lineRule="auto"/>
        <w:jc w:val="both"/>
        <w:rPr>
          <w:rFonts w:cstheme="minorHAnsi"/>
          <w:sz w:val="24"/>
          <w:szCs w:val="24"/>
        </w:rPr>
      </w:pPr>
      <w:r w:rsidRPr="00E84135">
        <w:rPr>
          <w:rFonts w:cstheme="minorHAnsi"/>
          <w:sz w:val="24"/>
          <w:szCs w:val="24"/>
        </w:rPr>
        <w:lastRenderedPageBreak/>
        <w:t>Dispondrán de un interruptor termomagnético general de 20 amperios y un interruptor diferencial con una sensibilidad de 300 mA. Estas dos llaves podrán suministrarse por separado o como una llave sola combinada. A su vez, dispondrán de otra llave bipolar para cortar la energía exclusivamente de la salida de lámparas.</w:t>
      </w:r>
    </w:p>
    <w:p w14:paraId="3F465012" w14:textId="77777777" w:rsidR="00E84135" w:rsidRPr="00E84135" w:rsidRDefault="00E84135" w:rsidP="00E84135">
      <w:pPr>
        <w:spacing w:line="360" w:lineRule="auto"/>
        <w:jc w:val="both"/>
        <w:rPr>
          <w:rFonts w:cstheme="minorHAnsi"/>
          <w:sz w:val="24"/>
          <w:szCs w:val="24"/>
        </w:rPr>
      </w:pPr>
      <w:r w:rsidRPr="00E84135">
        <w:rPr>
          <w:rFonts w:cstheme="minorHAnsi"/>
          <w:sz w:val="24"/>
          <w:szCs w:val="24"/>
        </w:rPr>
        <w:t>El controlador será inmune a ruidos o transitorios en las líneas de alimentación, circuitos a lámparas, de demanda y en los de sincronismo.</w:t>
      </w:r>
    </w:p>
    <w:p w14:paraId="077AAAD8" w14:textId="77777777" w:rsidR="00E84135" w:rsidRPr="00E84135" w:rsidRDefault="00E84135" w:rsidP="00E84135">
      <w:pPr>
        <w:spacing w:line="360" w:lineRule="auto"/>
        <w:jc w:val="both"/>
        <w:rPr>
          <w:rFonts w:cstheme="minorHAnsi"/>
          <w:sz w:val="24"/>
          <w:szCs w:val="24"/>
        </w:rPr>
      </w:pPr>
      <w:r w:rsidRPr="00E84135">
        <w:rPr>
          <w:rFonts w:cstheme="minorHAnsi"/>
          <w:sz w:val="24"/>
          <w:szCs w:val="24"/>
        </w:rPr>
        <w:t xml:space="preserve">En el caso de que se sobrepase dicho valor, deberá apagar su salida de lámparas hasta que la tensión de alimentación vuelva a ser la correcta. En ese momento deberá iniciar su funcionamiento en forma automática, siguiendo la secuencia de partida. </w:t>
      </w:r>
    </w:p>
    <w:p w14:paraId="07F8CDF4" w14:textId="77777777" w:rsidR="00E84135" w:rsidRPr="00E84135" w:rsidRDefault="00E84135" w:rsidP="00E84135">
      <w:pPr>
        <w:spacing w:line="360" w:lineRule="auto"/>
        <w:jc w:val="both"/>
        <w:rPr>
          <w:rFonts w:cstheme="minorHAnsi"/>
          <w:sz w:val="24"/>
          <w:szCs w:val="24"/>
        </w:rPr>
      </w:pPr>
      <w:r w:rsidRPr="00E84135">
        <w:rPr>
          <w:rFonts w:cstheme="minorHAnsi"/>
          <w:sz w:val="24"/>
          <w:szCs w:val="24"/>
        </w:rPr>
        <w:t>Para evitar el apagado, de presentarse esta situación se deberán instalar reguladores de tensión automáticos que permitan un rango mayor de funcionamiento.</w:t>
      </w:r>
    </w:p>
    <w:p w14:paraId="6F01C6EE" w14:textId="2BF6D492" w:rsidR="00E84135" w:rsidRPr="00E84135" w:rsidRDefault="00E84135" w:rsidP="002112EF">
      <w:pPr>
        <w:pStyle w:val="Ttulo2"/>
      </w:pPr>
      <w:bookmarkStart w:id="22" w:name="_Toc37834259"/>
      <w:r w:rsidRPr="00E84135">
        <w:t>Construcción modular</w:t>
      </w:r>
      <w:bookmarkEnd w:id="22"/>
    </w:p>
    <w:p w14:paraId="323988A1" w14:textId="77777777" w:rsidR="00E84135" w:rsidRPr="00E84135" w:rsidRDefault="00E84135" w:rsidP="00E84135">
      <w:pPr>
        <w:spacing w:line="360" w:lineRule="auto"/>
        <w:jc w:val="both"/>
        <w:rPr>
          <w:rFonts w:cstheme="minorHAnsi"/>
          <w:sz w:val="24"/>
          <w:szCs w:val="24"/>
        </w:rPr>
      </w:pPr>
      <w:r w:rsidRPr="00E84135">
        <w:rPr>
          <w:rFonts w:cstheme="minorHAnsi"/>
          <w:sz w:val="24"/>
          <w:szCs w:val="24"/>
        </w:rPr>
        <w:t>Se dará preferencia a los equipos cuya construcción sea lo más modular posible, a efecto de que las reparaciones en servicio se puedan efectuar rápidamente. Esto quiere decir que cada módulo será independiente y enchufable, por ejemplo: CPU, fuente de alimentación de baja tensión, módulos de potencia, etcétera.</w:t>
      </w:r>
    </w:p>
    <w:p w14:paraId="643B5F2E" w14:textId="77777777" w:rsidR="00E84135" w:rsidRPr="00E84135" w:rsidRDefault="00E84135" w:rsidP="00E84135">
      <w:pPr>
        <w:spacing w:line="360" w:lineRule="auto"/>
        <w:jc w:val="both"/>
        <w:rPr>
          <w:rFonts w:cstheme="minorHAnsi"/>
          <w:sz w:val="24"/>
          <w:szCs w:val="24"/>
        </w:rPr>
      </w:pPr>
      <w:r w:rsidRPr="00E84135">
        <w:rPr>
          <w:rFonts w:cstheme="minorHAnsi"/>
          <w:sz w:val="24"/>
          <w:szCs w:val="24"/>
        </w:rPr>
        <w:t>Para la conexión de las líneas de lámparas se debe disponer de borneras separadas de las placas de circuito impreso de los módulos de salida.  Estas borneras deben ser de buena calidad y pueden estar montadas en tablero independiente al del controlador.</w:t>
      </w:r>
    </w:p>
    <w:p w14:paraId="54BF479E" w14:textId="3745BE21" w:rsidR="00E84135" w:rsidRPr="00E84135" w:rsidRDefault="00E84135" w:rsidP="002112EF">
      <w:pPr>
        <w:pStyle w:val="Ttulo2"/>
      </w:pPr>
      <w:bookmarkStart w:id="23" w:name="_Toc37834260"/>
      <w:r w:rsidRPr="00E84135">
        <w:t>Protecciones de “verdes incompatibles”, falta de señales rojas y cortocircuito en un circuito de demanda</w:t>
      </w:r>
      <w:bookmarkEnd w:id="23"/>
      <w:r w:rsidRPr="00E84135">
        <w:t xml:space="preserve">    </w:t>
      </w:r>
    </w:p>
    <w:p w14:paraId="492B656B" w14:textId="77777777" w:rsidR="00E84135" w:rsidRPr="00E84135" w:rsidRDefault="00E84135" w:rsidP="00E84135">
      <w:pPr>
        <w:spacing w:line="360" w:lineRule="auto"/>
        <w:jc w:val="both"/>
        <w:rPr>
          <w:rFonts w:cstheme="minorHAnsi"/>
          <w:sz w:val="24"/>
          <w:szCs w:val="24"/>
        </w:rPr>
      </w:pPr>
      <w:r w:rsidRPr="00E84135">
        <w:rPr>
          <w:rFonts w:cstheme="minorHAnsi"/>
          <w:sz w:val="24"/>
          <w:szCs w:val="24"/>
        </w:rPr>
        <w:t>El controlador deberá contar con implementos para el monitoreo permanente de todas las salidas de lámparas verdes. En caso de existir una situación de verdes encendidas (por causas internas o externas al equipo) de manera incompatible a lo programado, el controlador deberá pasar a estado destellante (titilante) o apagado en forma permanente hasta que el problema sea solucionado. Se debe poder programar (por “hardware” y por “software”) como incompatibles cualquier combinación de las salidas de lámparas verdes.</w:t>
      </w:r>
    </w:p>
    <w:p w14:paraId="20DE9EBA" w14:textId="77777777" w:rsidR="00E84135" w:rsidRPr="00E84135" w:rsidRDefault="00E84135" w:rsidP="00E84135">
      <w:pPr>
        <w:spacing w:line="360" w:lineRule="auto"/>
        <w:jc w:val="both"/>
        <w:rPr>
          <w:rFonts w:cstheme="minorHAnsi"/>
          <w:sz w:val="24"/>
          <w:szCs w:val="24"/>
        </w:rPr>
      </w:pPr>
      <w:r w:rsidRPr="00E84135">
        <w:rPr>
          <w:rFonts w:cstheme="minorHAnsi"/>
          <w:sz w:val="24"/>
          <w:szCs w:val="24"/>
        </w:rPr>
        <w:t xml:space="preserve">El controlador deberá detectar la ausencia de las señales rojas en los grupos de lámparas, y pasar a modo titilante en dicha situación. (Se deberá tener en cuenta para </w:t>
      </w:r>
      <w:r w:rsidRPr="00E84135">
        <w:rPr>
          <w:rFonts w:cstheme="minorHAnsi"/>
          <w:sz w:val="24"/>
          <w:szCs w:val="24"/>
        </w:rPr>
        <w:lastRenderedPageBreak/>
        <w:t>el censado que las lámparas serán de leds y por lo tanto tendrán bajo consumo). Se indicará si también realiza la detección en las señales verdes o amarillas.</w:t>
      </w:r>
    </w:p>
    <w:p w14:paraId="177C0BC8" w14:textId="77777777" w:rsidR="00E84135" w:rsidRPr="00E84135" w:rsidRDefault="00E84135" w:rsidP="00E84135">
      <w:pPr>
        <w:spacing w:line="360" w:lineRule="auto"/>
        <w:jc w:val="both"/>
        <w:rPr>
          <w:rFonts w:cstheme="minorHAnsi"/>
          <w:sz w:val="24"/>
          <w:szCs w:val="24"/>
        </w:rPr>
      </w:pPr>
      <w:r w:rsidRPr="00E84135">
        <w:rPr>
          <w:rFonts w:cstheme="minorHAnsi"/>
          <w:sz w:val="24"/>
          <w:szCs w:val="24"/>
        </w:rPr>
        <w:t>Para facilitar su operación, deberá estar provisto de una llave para el paso a modo titilante o destellante y otra bipolar para el apagado de la salida de lámparas. La conexión de salida (de lámparas) se hará a través de borneras que permitan unión de dos alambres de un mm² de sección, cada uno.</w:t>
      </w:r>
    </w:p>
    <w:p w14:paraId="0CDCB2B4" w14:textId="166506F5" w:rsidR="00E84135" w:rsidRPr="00E84135" w:rsidRDefault="00E84135" w:rsidP="002366EC">
      <w:pPr>
        <w:pStyle w:val="Ttulo2"/>
      </w:pPr>
      <w:bookmarkStart w:id="24" w:name="_Toc37834261"/>
      <w:r w:rsidRPr="00E84135">
        <w:t>Borneras y protecciones de los conductores</w:t>
      </w:r>
      <w:bookmarkEnd w:id="24"/>
    </w:p>
    <w:p w14:paraId="3394CB87" w14:textId="51E41F1C" w:rsidR="00E84135" w:rsidRPr="00E84135" w:rsidRDefault="00E84135" w:rsidP="00E84135">
      <w:pPr>
        <w:spacing w:line="360" w:lineRule="auto"/>
        <w:jc w:val="both"/>
        <w:rPr>
          <w:rFonts w:cstheme="minorHAnsi"/>
          <w:sz w:val="24"/>
          <w:szCs w:val="24"/>
        </w:rPr>
      </w:pPr>
      <w:r w:rsidRPr="00E84135">
        <w:rPr>
          <w:rFonts w:cstheme="minorHAnsi"/>
          <w:sz w:val="24"/>
          <w:szCs w:val="24"/>
        </w:rPr>
        <w:t>Las salidas hacia los semáforos serán accionadas por elementos electrónicos. Estos</w:t>
      </w:r>
      <w:r w:rsidR="002366EC">
        <w:rPr>
          <w:rFonts w:cstheme="minorHAnsi"/>
          <w:sz w:val="24"/>
          <w:szCs w:val="24"/>
        </w:rPr>
        <w:t xml:space="preserve"> </w:t>
      </w:r>
      <w:r w:rsidRPr="00E84135">
        <w:rPr>
          <w:rFonts w:cstheme="minorHAnsi"/>
          <w:sz w:val="24"/>
          <w:szCs w:val="24"/>
        </w:rPr>
        <w:t>estarán eléctricamente protegidos de tal forma que ningún cortocircuito exterior cause</w:t>
      </w:r>
      <w:r w:rsidR="002366EC">
        <w:rPr>
          <w:rFonts w:cstheme="minorHAnsi"/>
          <w:sz w:val="24"/>
          <w:szCs w:val="24"/>
        </w:rPr>
        <w:t xml:space="preserve"> </w:t>
      </w:r>
      <w:r w:rsidRPr="00E84135">
        <w:rPr>
          <w:rFonts w:cstheme="minorHAnsi"/>
          <w:sz w:val="24"/>
          <w:szCs w:val="24"/>
        </w:rPr>
        <w:t>daños al controlador.</w:t>
      </w:r>
    </w:p>
    <w:p w14:paraId="6E50C7BE" w14:textId="77777777" w:rsidR="00E84135" w:rsidRPr="00E84135" w:rsidRDefault="00E84135" w:rsidP="00E84135">
      <w:pPr>
        <w:spacing w:line="360" w:lineRule="auto"/>
        <w:jc w:val="both"/>
        <w:rPr>
          <w:rFonts w:cstheme="minorHAnsi"/>
          <w:sz w:val="24"/>
          <w:szCs w:val="24"/>
        </w:rPr>
      </w:pPr>
      <w:r w:rsidRPr="00E84135">
        <w:rPr>
          <w:rFonts w:cstheme="minorHAnsi"/>
          <w:sz w:val="24"/>
          <w:szCs w:val="24"/>
        </w:rPr>
        <w:t>El controlador contará con protecciones (fusibles, por ejemplo) preferentemente externos al contenedor o accesibles sin necesidad de tener acceso a la electrónica.</w:t>
      </w:r>
    </w:p>
    <w:p w14:paraId="2C0BABBA" w14:textId="77777777" w:rsidR="00E84135" w:rsidRPr="00E84135" w:rsidRDefault="00E84135" w:rsidP="00E84135">
      <w:pPr>
        <w:spacing w:line="360" w:lineRule="auto"/>
        <w:jc w:val="both"/>
        <w:rPr>
          <w:rFonts w:cstheme="minorHAnsi"/>
          <w:sz w:val="24"/>
          <w:szCs w:val="24"/>
        </w:rPr>
      </w:pPr>
      <w:r w:rsidRPr="00E84135">
        <w:rPr>
          <w:rFonts w:cstheme="minorHAnsi"/>
          <w:sz w:val="24"/>
          <w:szCs w:val="24"/>
        </w:rPr>
        <w:t>Asimismo, habrá borneras en el exterior del contenedor, que permitirán la conexión hacia los semáforos y hacia las botoneras. El controlador tendrá preferentemente protecciones internas con selectividad respecto a las externas.</w:t>
      </w:r>
    </w:p>
    <w:p w14:paraId="48452E2A" w14:textId="4F2E6176" w:rsidR="00E84135" w:rsidRPr="00E84135" w:rsidRDefault="00E84135" w:rsidP="00E84135">
      <w:pPr>
        <w:spacing w:line="360" w:lineRule="auto"/>
        <w:jc w:val="both"/>
        <w:rPr>
          <w:rFonts w:cstheme="minorHAnsi"/>
          <w:sz w:val="24"/>
          <w:szCs w:val="24"/>
        </w:rPr>
      </w:pPr>
      <w:r w:rsidRPr="00E84135">
        <w:rPr>
          <w:rFonts w:cstheme="minorHAnsi"/>
          <w:sz w:val="24"/>
          <w:szCs w:val="24"/>
        </w:rPr>
        <w:t>Cualquier falla en el cableado u operación de las protecciones externas no dañará al</w:t>
      </w:r>
      <w:r w:rsidR="002366EC">
        <w:rPr>
          <w:rFonts w:cstheme="minorHAnsi"/>
          <w:sz w:val="24"/>
          <w:szCs w:val="24"/>
        </w:rPr>
        <w:t xml:space="preserve"> </w:t>
      </w:r>
      <w:r w:rsidRPr="00E84135">
        <w:rPr>
          <w:rFonts w:cstheme="minorHAnsi"/>
          <w:sz w:val="24"/>
          <w:szCs w:val="24"/>
        </w:rPr>
        <w:t>controlador.</w:t>
      </w:r>
    </w:p>
    <w:p w14:paraId="2108EE6E" w14:textId="1592EC6C" w:rsidR="00E84135" w:rsidRPr="00E84135" w:rsidRDefault="00E84135" w:rsidP="002366EC">
      <w:pPr>
        <w:pStyle w:val="Ttulo2"/>
      </w:pPr>
      <w:bookmarkStart w:id="25" w:name="_Toc37834262"/>
      <w:r w:rsidRPr="00E84135">
        <w:t>Documentación técnica, curso de entrenamiento y garantía</w:t>
      </w:r>
      <w:bookmarkEnd w:id="25"/>
    </w:p>
    <w:p w14:paraId="6EAFBE63" w14:textId="77777777" w:rsidR="00E84135" w:rsidRPr="00E84135" w:rsidRDefault="00E84135" w:rsidP="00E84135">
      <w:pPr>
        <w:spacing w:line="360" w:lineRule="auto"/>
        <w:jc w:val="both"/>
        <w:rPr>
          <w:rFonts w:cstheme="minorHAnsi"/>
          <w:sz w:val="24"/>
          <w:szCs w:val="24"/>
        </w:rPr>
      </w:pPr>
      <w:r w:rsidRPr="00E84135">
        <w:rPr>
          <w:rFonts w:cstheme="minorHAnsi"/>
          <w:sz w:val="24"/>
          <w:szCs w:val="24"/>
        </w:rPr>
        <w:t>Se deberá suministrar conjuntamente con los controladores la siguiente documentación (en formato digital):</w:t>
      </w:r>
    </w:p>
    <w:p w14:paraId="6727C04B" w14:textId="7AD93037" w:rsidR="00E84135" w:rsidRPr="002366EC" w:rsidRDefault="00E84135" w:rsidP="002366EC">
      <w:pPr>
        <w:pStyle w:val="Prrafodelista"/>
        <w:numPr>
          <w:ilvl w:val="0"/>
          <w:numId w:val="5"/>
        </w:numPr>
        <w:spacing w:line="360" w:lineRule="auto"/>
        <w:jc w:val="both"/>
        <w:rPr>
          <w:rFonts w:cstheme="minorHAnsi"/>
          <w:sz w:val="24"/>
          <w:szCs w:val="24"/>
        </w:rPr>
      </w:pPr>
      <w:r w:rsidRPr="002366EC">
        <w:rPr>
          <w:rFonts w:cstheme="minorHAnsi"/>
          <w:sz w:val="24"/>
          <w:szCs w:val="24"/>
        </w:rPr>
        <w:t xml:space="preserve">Manual de reparación que incluya la descripción del funcionamiento de cada etapa del controlador y su circuito electrónico completo. </w:t>
      </w:r>
    </w:p>
    <w:p w14:paraId="7B08DF79" w14:textId="023CA496" w:rsidR="00E84135" w:rsidRPr="002366EC" w:rsidRDefault="00E84135" w:rsidP="002366EC">
      <w:pPr>
        <w:pStyle w:val="Prrafodelista"/>
        <w:numPr>
          <w:ilvl w:val="0"/>
          <w:numId w:val="5"/>
        </w:numPr>
        <w:spacing w:line="360" w:lineRule="auto"/>
        <w:jc w:val="both"/>
        <w:rPr>
          <w:rFonts w:cstheme="minorHAnsi"/>
          <w:sz w:val="24"/>
          <w:szCs w:val="24"/>
        </w:rPr>
      </w:pPr>
      <w:r w:rsidRPr="002366EC">
        <w:rPr>
          <w:rFonts w:cstheme="minorHAnsi"/>
          <w:sz w:val="24"/>
          <w:szCs w:val="24"/>
        </w:rPr>
        <w:t>Manual de operación, programación e instalación.</w:t>
      </w:r>
    </w:p>
    <w:p w14:paraId="1E722A2F" w14:textId="4DE11974" w:rsidR="00E84135" w:rsidRPr="002366EC" w:rsidRDefault="00E84135" w:rsidP="002366EC">
      <w:pPr>
        <w:pStyle w:val="Prrafodelista"/>
        <w:numPr>
          <w:ilvl w:val="0"/>
          <w:numId w:val="5"/>
        </w:numPr>
        <w:spacing w:line="360" w:lineRule="auto"/>
        <w:jc w:val="both"/>
        <w:rPr>
          <w:rFonts w:cstheme="minorHAnsi"/>
          <w:sz w:val="24"/>
          <w:szCs w:val="24"/>
        </w:rPr>
      </w:pPr>
      <w:r w:rsidRPr="002366EC">
        <w:rPr>
          <w:rFonts w:cstheme="minorHAnsi"/>
          <w:sz w:val="24"/>
          <w:szCs w:val="24"/>
        </w:rPr>
        <w:t>El software completo necesario para la puesta en marcha y programación del controlador (en CD y vía web) así como todos los elementos de comunicación necesarios para su correcta utilización.</w:t>
      </w:r>
    </w:p>
    <w:p w14:paraId="1CC8FF0E" w14:textId="77777777" w:rsidR="00E84135" w:rsidRPr="00E84135" w:rsidRDefault="00E84135" w:rsidP="00E84135">
      <w:pPr>
        <w:spacing w:line="360" w:lineRule="auto"/>
        <w:jc w:val="both"/>
        <w:rPr>
          <w:rFonts w:cstheme="minorHAnsi"/>
          <w:sz w:val="24"/>
          <w:szCs w:val="24"/>
        </w:rPr>
      </w:pPr>
      <w:r w:rsidRPr="00E84135">
        <w:rPr>
          <w:rFonts w:cstheme="minorHAnsi"/>
          <w:sz w:val="24"/>
          <w:szCs w:val="24"/>
        </w:rPr>
        <w:t xml:space="preserve">Se deberá realizar un curso de entrenamiento dirigido a la totalidad del personal técnico que opere y mantenga estos equipos, con la finalidad de explicar la programación de los equipos y el uso del software que acompaña a los mismos. Dicho curso deberá cubrir </w:t>
      </w:r>
      <w:r w:rsidRPr="00E84135">
        <w:rPr>
          <w:rFonts w:cstheme="minorHAnsi"/>
          <w:sz w:val="24"/>
          <w:szCs w:val="24"/>
        </w:rPr>
        <w:lastRenderedPageBreak/>
        <w:t>todas las áreas que involucren la instalación, operación, reparación y mantenimiento de los equipos. Al mismo podrán concurrir otros funcionarios que la Administración considere pertinente.</w:t>
      </w:r>
    </w:p>
    <w:p w14:paraId="65ED757B" w14:textId="77777777" w:rsidR="00E84135" w:rsidRPr="00E84135" w:rsidRDefault="00E84135" w:rsidP="00E84135">
      <w:pPr>
        <w:spacing w:line="360" w:lineRule="auto"/>
        <w:jc w:val="both"/>
        <w:rPr>
          <w:rFonts w:cstheme="minorHAnsi"/>
          <w:sz w:val="24"/>
          <w:szCs w:val="24"/>
        </w:rPr>
      </w:pPr>
      <w:r w:rsidRPr="00E84135">
        <w:rPr>
          <w:rFonts w:cstheme="minorHAnsi"/>
          <w:sz w:val="24"/>
          <w:szCs w:val="24"/>
        </w:rPr>
        <w:t>Se deberá dar garantía sobre los equipos por el término de un año en caso de fallas por defecto de fabricación. Si las fallas se reiteran en forma continua para un equipo determinado, se podrá decidir la sustitución total del equipo por otro de idénticas prestaciones, sin generar costo alguno para la Administración. Asimismo, serán de cargo del proveedor todos los gastos de traslado que esta situación ocasione.</w:t>
      </w:r>
    </w:p>
    <w:p w14:paraId="61C0CEC4" w14:textId="385EC081" w:rsidR="00E84135" w:rsidRPr="00E84135" w:rsidRDefault="00E84135" w:rsidP="002366EC">
      <w:pPr>
        <w:pStyle w:val="Ttulo1"/>
      </w:pPr>
      <w:bookmarkStart w:id="26" w:name="_Toc37834263"/>
      <w:r w:rsidRPr="00E84135">
        <w:t>Gabinete para el controlador</w:t>
      </w:r>
      <w:bookmarkEnd w:id="26"/>
    </w:p>
    <w:p w14:paraId="3CC9224D" w14:textId="77777777" w:rsidR="00E84135" w:rsidRPr="00E84135" w:rsidRDefault="00E84135" w:rsidP="00E84135">
      <w:pPr>
        <w:spacing w:line="360" w:lineRule="auto"/>
        <w:jc w:val="both"/>
        <w:rPr>
          <w:rFonts w:cstheme="minorHAnsi"/>
          <w:sz w:val="24"/>
          <w:szCs w:val="24"/>
        </w:rPr>
      </w:pPr>
      <w:r w:rsidRPr="00E84135">
        <w:rPr>
          <w:rFonts w:cstheme="minorHAnsi"/>
          <w:sz w:val="24"/>
          <w:szCs w:val="24"/>
        </w:rPr>
        <w:t>El gabinete para el controlador tendrá dimensiones adecuadas para el controlador de semáforos, equipos estabilizadores de tensión y cualquier otro elemento complementario que sea necesario instalar.</w:t>
      </w:r>
    </w:p>
    <w:p w14:paraId="0B35A96F" w14:textId="77777777" w:rsidR="00E84135" w:rsidRPr="00E84135" w:rsidRDefault="00E84135" w:rsidP="00E84135">
      <w:pPr>
        <w:spacing w:line="360" w:lineRule="auto"/>
        <w:jc w:val="both"/>
        <w:rPr>
          <w:rFonts w:cstheme="minorHAnsi"/>
          <w:sz w:val="24"/>
          <w:szCs w:val="24"/>
        </w:rPr>
      </w:pPr>
      <w:r w:rsidRPr="00E84135">
        <w:rPr>
          <w:rFonts w:cstheme="minorHAnsi"/>
          <w:sz w:val="24"/>
          <w:szCs w:val="24"/>
        </w:rPr>
        <w:t>Un interruptor diferencial asegurará la protección de las instalaciones y personas, (estará protegido contra desconexiones intempestivas provocadas por corrientes de fuga transitorias, puntas de tensión por rayos, cargas capacitivas, etcétera)</w:t>
      </w:r>
    </w:p>
    <w:p w14:paraId="24B1C96A" w14:textId="77777777" w:rsidR="00E84135" w:rsidRPr="00E84135" w:rsidRDefault="00E84135" w:rsidP="00E84135">
      <w:pPr>
        <w:spacing w:line="360" w:lineRule="auto"/>
        <w:jc w:val="both"/>
        <w:rPr>
          <w:rFonts w:cstheme="minorHAnsi"/>
          <w:sz w:val="24"/>
          <w:szCs w:val="24"/>
        </w:rPr>
      </w:pPr>
      <w:r w:rsidRPr="00E84135">
        <w:rPr>
          <w:rFonts w:cstheme="minorHAnsi"/>
          <w:sz w:val="24"/>
          <w:szCs w:val="24"/>
        </w:rPr>
        <w:t>El contenedor deberá prever la aislación térmica necesaria para el buen funcionamiento del equipo. Todos los elementos serán aptos para trabajar en ambiente de 80% de humedad relativa. El contenedor tendrá protección contra polvo y humedad y grado de protección mínimo IP55.</w:t>
      </w:r>
    </w:p>
    <w:p w14:paraId="5388A2ED" w14:textId="77777777" w:rsidR="00E84135" w:rsidRPr="00E84135" w:rsidRDefault="00E84135" w:rsidP="00E84135">
      <w:pPr>
        <w:spacing w:line="360" w:lineRule="auto"/>
        <w:jc w:val="both"/>
        <w:rPr>
          <w:rFonts w:cstheme="minorHAnsi"/>
          <w:sz w:val="24"/>
          <w:szCs w:val="24"/>
        </w:rPr>
      </w:pPr>
      <w:r w:rsidRPr="00E84135">
        <w:rPr>
          <w:rFonts w:cstheme="minorHAnsi"/>
          <w:sz w:val="24"/>
          <w:szCs w:val="24"/>
        </w:rPr>
        <w:t>Se considerará un contenedor metálico con cerradura. No se aceptará la instalación de los controladores en forma independiente del resto del tablero y sin la protección correspondiente. Se preverá ventilación si fuese necesaria.</w:t>
      </w:r>
    </w:p>
    <w:p w14:paraId="3BDF3983" w14:textId="77777777" w:rsidR="00E84135" w:rsidRPr="00E84135" w:rsidRDefault="00E84135" w:rsidP="00E84135">
      <w:pPr>
        <w:spacing w:line="360" w:lineRule="auto"/>
        <w:jc w:val="both"/>
        <w:rPr>
          <w:rFonts w:cstheme="minorHAnsi"/>
          <w:sz w:val="24"/>
          <w:szCs w:val="24"/>
        </w:rPr>
      </w:pPr>
      <w:r w:rsidRPr="00E84135">
        <w:rPr>
          <w:rFonts w:cstheme="minorHAnsi"/>
          <w:sz w:val="24"/>
          <w:szCs w:val="24"/>
        </w:rPr>
        <w:t xml:space="preserve">Tendrá tornillo para fijación de la tierra a la bandeja porta-elementos. La puerta contará con tornillos para establecer un puente conductor de la tierra entre ellos y el cuerpo del tablero. </w:t>
      </w:r>
    </w:p>
    <w:p w14:paraId="7DAE2124" w14:textId="77777777" w:rsidR="00E84135" w:rsidRPr="00E84135" w:rsidRDefault="00E84135" w:rsidP="00E84135">
      <w:pPr>
        <w:spacing w:line="360" w:lineRule="auto"/>
        <w:jc w:val="both"/>
        <w:rPr>
          <w:rFonts w:cstheme="minorHAnsi"/>
          <w:sz w:val="24"/>
          <w:szCs w:val="24"/>
        </w:rPr>
      </w:pPr>
      <w:r w:rsidRPr="00E84135">
        <w:rPr>
          <w:rFonts w:cstheme="minorHAnsi"/>
          <w:sz w:val="24"/>
          <w:szCs w:val="24"/>
        </w:rPr>
        <w:t>El cableado interno del tablero se realizará en cable flexible. Se efectuarán las previsiones necesarias para que sea posible realizar todas las mediciones de corrientes, con pinza amperimétrica, con comodidad, en todas las líneas, en cada uno de las fases y en el neutro.</w:t>
      </w:r>
    </w:p>
    <w:p w14:paraId="1C3A5805" w14:textId="77777777" w:rsidR="00E84135" w:rsidRPr="00E84135" w:rsidRDefault="00E84135" w:rsidP="00E84135">
      <w:pPr>
        <w:spacing w:line="360" w:lineRule="auto"/>
        <w:jc w:val="both"/>
        <w:rPr>
          <w:rFonts w:cstheme="minorHAnsi"/>
          <w:sz w:val="24"/>
          <w:szCs w:val="24"/>
        </w:rPr>
      </w:pPr>
      <w:r w:rsidRPr="00E84135">
        <w:rPr>
          <w:rFonts w:cstheme="minorHAnsi"/>
          <w:sz w:val="24"/>
          <w:szCs w:val="24"/>
        </w:rPr>
        <w:lastRenderedPageBreak/>
        <w:t>El ingreso y salida de todos los conductores al tablero se efectuará por la parte inferior a través de prensa cables.</w:t>
      </w:r>
    </w:p>
    <w:p w14:paraId="054F67B3" w14:textId="77777777" w:rsidR="00E84135" w:rsidRPr="00E84135" w:rsidRDefault="00E84135" w:rsidP="00E84135">
      <w:pPr>
        <w:spacing w:line="360" w:lineRule="auto"/>
        <w:jc w:val="both"/>
        <w:rPr>
          <w:rFonts w:cstheme="minorHAnsi"/>
          <w:sz w:val="24"/>
          <w:szCs w:val="24"/>
        </w:rPr>
      </w:pPr>
      <w:r w:rsidRPr="00E84135">
        <w:rPr>
          <w:rFonts w:cstheme="minorHAnsi"/>
          <w:sz w:val="24"/>
          <w:szCs w:val="24"/>
        </w:rPr>
        <w:t>En un bolsillo interior en la puerta del tablero se colocará un sobre hermético con cierre que contendrá un juego de planos de todas las instalaciones tal como quedaron ejecutadas.</w:t>
      </w:r>
    </w:p>
    <w:p w14:paraId="5249F420" w14:textId="77777777" w:rsidR="00E84135" w:rsidRPr="00E84135" w:rsidRDefault="00E84135" w:rsidP="00E84135">
      <w:pPr>
        <w:spacing w:line="360" w:lineRule="auto"/>
        <w:jc w:val="both"/>
        <w:rPr>
          <w:rFonts w:cstheme="minorHAnsi"/>
          <w:sz w:val="24"/>
          <w:szCs w:val="24"/>
        </w:rPr>
      </w:pPr>
      <w:r w:rsidRPr="00E84135">
        <w:rPr>
          <w:rFonts w:cstheme="minorHAnsi"/>
          <w:sz w:val="24"/>
          <w:szCs w:val="24"/>
        </w:rPr>
        <w:t>El controlador estará instalado dentro de un gabinete, completamente estanco, resistente a la intemperie, contando con cerradura y traba de varillas.</w:t>
      </w:r>
    </w:p>
    <w:p w14:paraId="7A274F01" w14:textId="77777777" w:rsidR="00E84135" w:rsidRPr="00E84135" w:rsidRDefault="00E84135" w:rsidP="00E84135">
      <w:pPr>
        <w:spacing w:line="360" w:lineRule="auto"/>
        <w:jc w:val="both"/>
        <w:rPr>
          <w:rFonts w:cstheme="minorHAnsi"/>
          <w:sz w:val="24"/>
          <w:szCs w:val="24"/>
        </w:rPr>
      </w:pPr>
      <w:r w:rsidRPr="00E84135">
        <w:rPr>
          <w:rFonts w:cstheme="minorHAnsi"/>
          <w:sz w:val="24"/>
          <w:szCs w:val="24"/>
        </w:rPr>
        <w:t>Este gabinete será fijado a un fuste de hormigón o mampostería a una altura razonable para una cómoda manipulación de los elementos eléctricos y/o electrónicos, entre 0,60 y un metro. Estos elementos deberán poder ser retirados del gabinete sin que éste deba ser quitado de su fijación en el fuste. Tendrá una puerta metálica con cerradura con llave de seguridad doble paleta e iluminación interior para inspección nocturna.</w:t>
      </w:r>
    </w:p>
    <w:p w14:paraId="510EE255" w14:textId="77777777" w:rsidR="00E84135" w:rsidRPr="00E84135" w:rsidRDefault="00E84135" w:rsidP="00E84135">
      <w:pPr>
        <w:spacing w:line="360" w:lineRule="auto"/>
        <w:jc w:val="both"/>
        <w:rPr>
          <w:rFonts w:cstheme="minorHAnsi"/>
          <w:sz w:val="24"/>
          <w:szCs w:val="24"/>
        </w:rPr>
      </w:pPr>
      <w:r w:rsidRPr="00E84135">
        <w:rPr>
          <w:rFonts w:cstheme="minorHAnsi"/>
          <w:sz w:val="24"/>
          <w:szCs w:val="24"/>
        </w:rPr>
        <w:t xml:space="preserve">El fuste será construido por el oferente y se incluirá en el precio global. Su ubicación se definirá en el replanteo de la obra, a resguardo de la luz solar directa y sobre alguna fachada que pueda dar protección. </w:t>
      </w:r>
    </w:p>
    <w:p w14:paraId="430DB237" w14:textId="77777777" w:rsidR="00E84135" w:rsidRPr="00E84135" w:rsidRDefault="00E84135" w:rsidP="00E84135">
      <w:pPr>
        <w:spacing w:line="360" w:lineRule="auto"/>
        <w:jc w:val="both"/>
        <w:rPr>
          <w:rFonts w:cstheme="minorHAnsi"/>
          <w:sz w:val="24"/>
          <w:szCs w:val="24"/>
        </w:rPr>
      </w:pPr>
      <w:r w:rsidRPr="00E84135">
        <w:rPr>
          <w:rFonts w:cstheme="minorHAnsi"/>
          <w:sz w:val="24"/>
          <w:szCs w:val="24"/>
        </w:rPr>
        <w:t>Se admitirá que los gabinetes de los controladores estén montados sobre las propias columnas del semáforo siempre que se demuestre, con documentación fehaciente, que los elementos de sujeción están diseñados para tales fines.</w:t>
      </w:r>
    </w:p>
    <w:p w14:paraId="7F7AD1ED" w14:textId="320C7B41" w:rsidR="00E84135" w:rsidRPr="00E84135" w:rsidRDefault="00E84135" w:rsidP="002366EC">
      <w:pPr>
        <w:pStyle w:val="Ttulo1"/>
      </w:pPr>
      <w:bookmarkStart w:id="27" w:name="_Toc37834264"/>
      <w:r w:rsidRPr="00E84135">
        <w:t>Conductores</w:t>
      </w:r>
      <w:bookmarkEnd w:id="27"/>
    </w:p>
    <w:p w14:paraId="25D46B28" w14:textId="77777777" w:rsidR="00E84135" w:rsidRPr="00E84135" w:rsidRDefault="00E84135" w:rsidP="00E84135">
      <w:pPr>
        <w:spacing w:line="360" w:lineRule="auto"/>
        <w:jc w:val="both"/>
        <w:rPr>
          <w:rFonts w:cstheme="minorHAnsi"/>
          <w:sz w:val="24"/>
          <w:szCs w:val="24"/>
        </w:rPr>
      </w:pPr>
      <w:r w:rsidRPr="00E84135">
        <w:rPr>
          <w:rFonts w:cstheme="minorHAnsi"/>
          <w:sz w:val="24"/>
          <w:szCs w:val="24"/>
        </w:rPr>
        <w:t>Los conductores en el sistema de semáforos, para la conexión de lámparas y de acuerdo a la necesidad de cada una de las columnas, serán del tipo “superplástico” (de 7 o más hilos) de colores diferentes, por 1,5 mm². Estarán protegidos con aislamiento exterior resistente a la intemperie (en caso de ser montado en forma aérea), de acuerdo a las especificaciones del fabricante.</w:t>
      </w:r>
    </w:p>
    <w:p w14:paraId="611FB353" w14:textId="77777777" w:rsidR="00E84135" w:rsidRPr="00E84135" w:rsidRDefault="00E84135" w:rsidP="00E84135">
      <w:pPr>
        <w:spacing w:line="360" w:lineRule="auto"/>
        <w:jc w:val="both"/>
        <w:rPr>
          <w:rFonts w:cstheme="minorHAnsi"/>
          <w:sz w:val="24"/>
          <w:szCs w:val="24"/>
        </w:rPr>
      </w:pPr>
      <w:r w:rsidRPr="00E84135">
        <w:rPr>
          <w:rFonts w:cstheme="minorHAnsi"/>
          <w:sz w:val="24"/>
          <w:szCs w:val="24"/>
        </w:rPr>
        <w:t>Se deberá enhebrar al menos un cable por columna y de manera tal que cada grupo de lámparas tenga su propio hilo común. Serán de cobre electrolítico.</w:t>
      </w:r>
    </w:p>
    <w:p w14:paraId="182F502B" w14:textId="77777777" w:rsidR="00E84135" w:rsidRPr="00E84135" w:rsidRDefault="00E84135" w:rsidP="00E84135">
      <w:pPr>
        <w:spacing w:line="360" w:lineRule="auto"/>
        <w:jc w:val="both"/>
        <w:rPr>
          <w:rFonts w:cstheme="minorHAnsi"/>
          <w:sz w:val="24"/>
          <w:szCs w:val="24"/>
        </w:rPr>
      </w:pPr>
      <w:r w:rsidRPr="00E84135">
        <w:rPr>
          <w:rFonts w:cstheme="minorHAnsi"/>
          <w:sz w:val="24"/>
          <w:szCs w:val="24"/>
        </w:rPr>
        <w:t xml:space="preserve">Se utilizarán códigos de colores (o numerados totalmente visibles), para el conexionado. En el conductor de varios hilos no se repetirán colores (o números), o existirán marcas claramente visibles, e indelebles, que no desaparezcan con el paso del tiempo. Estos </w:t>
      </w:r>
      <w:r w:rsidRPr="00E84135">
        <w:rPr>
          <w:rFonts w:cstheme="minorHAnsi"/>
          <w:sz w:val="24"/>
          <w:szCs w:val="24"/>
        </w:rPr>
        <w:lastRenderedPageBreak/>
        <w:t>códigos se indicarán claramente en la información de la instalación que estará permanentemente en el tablero.</w:t>
      </w:r>
    </w:p>
    <w:p w14:paraId="6A23535E" w14:textId="77777777" w:rsidR="00E84135" w:rsidRPr="00E84135" w:rsidRDefault="00E84135" w:rsidP="00E84135">
      <w:pPr>
        <w:spacing w:line="360" w:lineRule="auto"/>
        <w:jc w:val="both"/>
        <w:rPr>
          <w:rFonts w:cstheme="minorHAnsi"/>
          <w:sz w:val="24"/>
          <w:szCs w:val="24"/>
        </w:rPr>
      </w:pPr>
      <w:r w:rsidRPr="00E84135">
        <w:rPr>
          <w:rFonts w:cstheme="minorHAnsi"/>
          <w:sz w:val="24"/>
          <w:szCs w:val="24"/>
        </w:rPr>
        <w:t>El conductor de siete o más hilos por 1,5 mm</w:t>
      </w:r>
      <w:r w:rsidRPr="00390E07">
        <w:rPr>
          <w:rFonts w:cstheme="minorHAnsi"/>
          <w:sz w:val="24"/>
          <w:szCs w:val="24"/>
          <w:vertAlign w:val="superscript"/>
        </w:rPr>
        <w:t>2</w:t>
      </w:r>
      <w:r w:rsidRPr="00E84135">
        <w:rPr>
          <w:rFonts w:cstheme="minorHAnsi"/>
          <w:sz w:val="24"/>
          <w:szCs w:val="24"/>
        </w:rPr>
        <w:t xml:space="preserve"> tendrá entre los conductores individuales y la vaina de protección exterior, un forro de nylon u otro material similar para evitar que las aislaciones individuales y generales queden adheridas, ocasionando problemas al abrir el cable para el conexionado. </w:t>
      </w:r>
    </w:p>
    <w:p w14:paraId="68421D81" w14:textId="77777777" w:rsidR="00E84135" w:rsidRPr="00E84135" w:rsidRDefault="00E84135" w:rsidP="00E84135">
      <w:pPr>
        <w:spacing w:line="360" w:lineRule="auto"/>
        <w:jc w:val="both"/>
        <w:rPr>
          <w:rFonts w:cstheme="minorHAnsi"/>
          <w:sz w:val="24"/>
          <w:szCs w:val="24"/>
        </w:rPr>
      </w:pPr>
      <w:r w:rsidRPr="00E84135">
        <w:rPr>
          <w:rFonts w:cstheme="minorHAnsi"/>
          <w:sz w:val="24"/>
          <w:szCs w:val="24"/>
        </w:rPr>
        <w:t>Los conductores de conexión del tablero de alimentación de la red de UTE (toma de 220 voltios) serán bipolares de cobre electrolítico con aislamiento de PVC (“superplástico”), salvo especificaciones particulares que se indicarán. Se deberán cumplir con las normas UNIT – IEC 227. La sección mínima a utilizar será (dos hilos de alambre) de seis mm².</w:t>
      </w:r>
    </w:p>
    <w:p w14:paraId="4B72CE55" w14:textId="77777777" w:rsidR="00E84135" w:rsidRPr="00E84135" w:rsidRDefault="00E84135" w:rsidP="00E84135">
      <w:pPr>
        <w:spacing w:line="360" w:lineRule="auto"/>
        <w:jc w:val="both"/>
        <w:rPr>
          <w:rFonts w:cstheme="minorHAnsi"/>
          <w:sz w:val="24"/>
          <w:szCs w:val="24"/>
        </w:rPr>
      </w:pPr>
      <w:r w:rsidRPr="00E84135">
        <w:rPr>
          <w:rFonts w:cstheme="minorHAnsi"/>
          <w:sz w:val="24"/>
          <w:szCs w:val="24"/>
        </w:rPr>
        <w:t>Las cantidades necesarias de los conductores deberán ser calculadas por el oferente, a partir del proyecto de distribución que propongan los mismos, apoyados por los datos que se recaben en visitas al lugar de las obras. No se admitirá ni se aprobará ningún tipo de metraje adicional por falta de estudios o por errores, en los anteproyectos, planteados por el oferente.</w:t>
      </w:r>
    </w:p>
    <w:p w14:paraId="0E625F02" w14:textId="0D868C12" w:rsidR="00E84135" w:rsidRPr="00E84135" w:rsidRDefault="00E84135" w:rsidP="002366EC">
      <w:pPr>
        <w:pStyle w:val="Ttulo1"/>
      </w:pPr>
      <w:bookmarkStart w:id="28" w:name="_Toc37834265"/>
      <w:r w:rsidRPr="00E84135">
        <w:t>Canalizaciones</w:t>
      </w:r>
      <w:bookmarkEnd w:id="28"/>
    </w:p>
    <w:p w14:paraId="6EE3982E" w14:textId="4D58DD3E" w:rsidR="00E84135" w:rsidRPr="00E84135" w:rsidRDefault="00E84135" w:rsidP="002366EC">
      <w:pPr>
        <w:pStyle w:val="Ttulo2"/>
      </w:pPr>
      <w:bookmarkStart w:id="29" w:name="_Toc37834266"/>
      <w:r w:rsidRPr="00E84135">
        <w:t>Ductos</w:t>
      </w:r>
      <w:bookmarkEnd w:id="29"/>
    </w:p>
    <w:p w14:paraId="2C520F5A" w14:textId="77777777" w:rsidR="00E84135" w:rsidRPr="00E84135" w:rsidRDefault="00E84135" w:rsidP="00E84135">
      <w:pPr>
        <w:spacing w:line="360" w:lineRule="auto"/>
        <w:jc w:val="both"/>
        <w:rPr>
          <w:rFonts w:cstheme="minorHAnsi"/>
          <w:sz w:val="24"/>
          <w:szCs w:val="24"/>
        </w:rPr>
      </w:pPr>
      <w:r w:rsidRPr="00E84135">
        <w:rPr>
          <w:rFonts w:cstheme="minorHAnsi"/>
          <w:sz w:val="24"/>
          <w:szCs w:val="24"/>
        </w:rPr>
        <w:t>Serán de PVC aprobados por U.T.E. Los ductos longitudinales a la vía, que no se desarrollan bajo pavimento, serán 100 mm de diámetro. Los transversales (cruces de calzada) o longitudinales a la vía, que se desarrollan bajo pavimento, serán construidos de caños de 75 mm de diámetro, utilizando tunelera para su colocación.</w:t>
      </w:r>
    </w:p>
    <w:p w14:paraId="6323C63C" w14:textId="77777777" w:rsidR="00E84135" w:rsidRPr="00E84135" w:rsidRDefault="00E84135" w:rsidP="00E84135">
      <w:pPr>
        <w:spacing w:line="360" w:lineRule="auto"/>
        <w:jc w:val="both"/>
        <w:rPr>
          <w:rFonts w:cstheme="minorHAnsi"/>
          <w:sz w:val="24"/>
          <w:szCs w:val="24"/>
        </w:rPr>
      </w:pPr>
      <w:r w:rsidRPr="00E84135">
        <w:rPr>
          <w:rFonts w:cstheme="minorHAnsi"/>
          <w:sz w:val="24"/>
          <w:szCs w:val="24"/>
        </w:rPr>
        <w:t>En los cruces de calzada con corte de pavimento, los ductos serán de PVC rígido de diámetro 100 mm y se dejará una cañería adicional (sin uso). Para la colocación se efectuarán zanjas, de 40 cm de ancho máximo, con una profundidad tal que colocado el caño sobre una base de arena de 10 cm y cubierto con 10 cm de arena, la parte superior del mismo quedará a una profundidad mínima de 60 cm. El fondo de las zanjas mantendrá una pendiente mínima de medio por ciento hacia los puntos de drenaje.</w:t>
      </w:r>
    </w:p>
    <w:p w14:paraId="6E78E421" w14:textId="77777777" w:rsidR="00E84135" w:rsidRPr="00E84135" w:rsidRDefault="00E84135" w:rsidP="00E84135">
      <w:pPr>
        <w:spacing w:line="360" w:lineRule="auto"/>
        <w:jc w:val="both"/>
        <w:rPr>
          <w:rFonts w:cstheme="minorHAnsi"/>
          <w:sz w:val="24"/>
          <w:szCs w:val="24"/>
        </w:rPr>
      </w:pPr>
      <w:r w:rsidRPr="00E84135">
        <w:rPr>
          <w:rFonts w:cstheme="minorHAnsi"/>
          <w:sz w:val="24"/>
          <w:szCs w:val="24"/>
        </w:rPr>
        <w:t xml:space="preserve">Las acometidas a columnas se ejecutarán con tubo de polietileno de 31 mm de diámetro (especificaciones técnicas según Norma UNIT Nº137/75) y a controladores con caño de </w:t>
      </w:r>
      <w:r w:rsidRPr="00E84135">
        <w:rPr>
          <w:rFonts w:cstheme="minorHAnsi"/>
          <w:sz w:val="24"/>
          <w:szCs w:val="24"/>
        </w:rPr>
        <w:lastRenderedPageBreak/>
        <w:t>PVC de 100 mm de diámetro, desde la primera cámara hasta el fuste, incluido el recorrido interior a este.</w:t>
      </w:r>
    </w:p>
    <w:p w14:paraId="2ED4BB41" w14:textId="77777777" w:rsidR="00E84135" w:rsidRPr="00E84135" w:rsidRDefault="00E84135" w:rsidP="00E84135">
      <w:pPr>
        <w:spacing w:line="360" w:lineRule="auto"/>
        <w:jc w:val="both"/>
        <w:rPr>
          <w:rFonts w:cstheme="minorHAnsi"/>
          <w:sz w:val="24"/>
          <w:szCs w:val="24"/>
        </w:rPr>
      </w:pPr>
      <w:r w:rsidRPr="00E84135">
        <w:rPr>
          <w:rFonts w:cstheme="minorHAnsi"/>
          <w:sz w:val="24"/>
          <w:szCs w:val="24"/>
        </w:rPr>
        <w:t>Los elementos de "Descarga a tierra" se ejecutarán conforme a los Artículos 8 y 20b del Reglamento para la ejecución de instalaciones eléctricas de UTE. Las bajadas de 220 voltios y conexión del control a la red de suministro eléctrico, incluyendo el caño de protección del cable, se ejecutarán de acuerdo a las disposiciones de UTE y a las directivas impartidas por la DO. Todos los ductos se deben dejar con alambre galvanizado como guía para el futuro enhebrado de los cableados.</w:t>
      </w:r>
    </w:p>
    <w:p w14:paraId="32206A6E" w14:textId="331B5BA6" w:rsidR="00E84135" w:rsidRPr="00E84135" w:rsidRDefault="00E84135" w:rsidP="002366EC">
      <w:pPr>
        <w:pStyle w:val="Ttulo1"/>
      </w:pPr>
      <w:bookmarkStart w:id="30" w:name="_Toc37834267"/>
      <w:r w:rsidRPr="00E84135">
        <w:t>Cámaras</w:t>
      </w:r>
      <w:bookmarkEnd w:id="30"/>
    </w:p>
    <w:p w14:paraId="209FD22F" w14:textId="77777777" w:rsidR="00E84135" w:rsidRPr="00E84135" w:rsidRDefault="00E84135" w:rsidP="00E84135">
      <w:pPr>
        <w:spacing w:line="360" w:lineRule="auto"/>
        <w:jc w:val="both"/>
        <w:rPr>
          <w:rFonts w:cstheme="minorHAnsi"/>
          <w:sz w:val="24"/>
          <w:szCs w:val="24"/>
        </w:rPr>
      </w:pPr>
      <w:r w:rsidRPr="00E84135">
        <w:rPr>
          <w:rFonts w:cstheme="minorHAnsi"/>
          <w:sz w:val="24"/>
          <w:szCs w:val="24"/>
        </w:rPr>
        <w:t>La distancia máxima entre cámaras será de 25 m. Las cámaras se colocarán fuera de banquina a una distancia mínima de 50 cm.</w:t>
      </w:r>
    </w:p>
    <w:p w14:paraId="2E4F0ED8" w14:textId="77777777" w:rsidR="00E84135" w:rsidRPr="00E84135" w:rsidRDefault="00E84135" w:rsidP="00E84135">
      <w:pPr>
        <w:spacing w:line="360" w:lineRule="auto"/>
        <w:jc w:val="both"/>
        <w:rPr>
          <w:rFonts w:cstheme="minorHAnsi"/>
          <w:sz w:val="24"/>
          <w:szCs w:val="24"/>
        </w:rPr>
      </w:pPr>
      <w:r w:rsidRPr="00E84135">
        <w:rPr>
          <w:rFonts w:cstheme="minorHAnsi"/>
          <w:sz w:val="24"/>
          <w:szCs w:val="24"/>
        </w:rPr>
        <w:t>Las cámaras, que reciban cañerías de cruce de calzada, serán como mínimo de 1,06 x 0,60 x 1,00 (medidas en metros). Las cámaras de 1,00 x 0,60 x 1,00 podrán tener tapa de 0,60 x 0,60 colocada en una losa con las dimensiones externas mayores a la de la cámara (medidas en metros).</w:t>
      </w:r>
    </w:p>
    <w:p w14:paraId="29F95008" w14:textId="77777777" w:rsidR="00E84135" w:rsidRPr="00E84135" w:rsidRDefault="00E84135" w:rsidP="00E84135">
      <w:pPr>
        <w:spacing w:line="360" w:lineRule="auto"/>
        <w:jc w:val="both"/>
        <w:rPr>
          <w:rFonts w:cstheme="minorHAnsi"/>
          <w:sz w:val="24"/>
          <w:szCs w:val="24"/>
        </w:rPr>
      </w:pPr>
      <w:r w:rsidRPr="00E84135">
        <w:rPr>
          <w:rFonts w:cstheme="minorHAnsi"/>
          <w:sz w:val="24"/>
          <w:szCs w:val="24"/>
        </w:rPr>
        <w:t>Las cámaras serán prefabricadas. Tendrán tapa, contratapa y fondo con pendiente hacia una abertura y drenaje por cañería. Contarán con un gancho de hierro de 6 mm mínimo, galvanizado para suspender el bucle formado por los conductores.</w:t>
      </w:r>
    </w:p>
    <w:p w14:paraId="5C801B65" w14:textId="77777777" w:rsidR="00E84135" w:rsidRPr="00E84135" w:rsidRDefault="00E84135" w:rsidP="00E84135">
      <w:pPr>
        <w:spacing w:line="360" w:lineRule="auto"/>
        <w:jc w:val="both"/>
        <w:rPr>
          <w:rFonts w:cstheme="minorHAnsi"/>
          <w:sz w:val="24"/>
          <w:szCs w:val="24"/>
        </w:rPr>
      </w:pPr>
      <w:r w:rsidRPr="00E84135">
        <w:rPr>
          <w:rFonts w:cstheme="minorHAnsi"/>
          <w:sz w:val="24"/>
          <w:szCs w:val="24"/>
        </w:rPr>
        <w:t>Además de las cámaras para cruces se colocarán otras al pie de cada columna de semáforo (de 0,40 x 0,40 x 0,70) y al pie (salida del fuste) del controlador de 0,60 x 0,60 x 1,00 (medidas en metros).</w:t>
      </w:r>
    </w:p>
    <w:p w14:paraId="39A7DF63" w14:textId="77777777" w:rsidR="00E84135" w:rsidRPr="00E84135" w:rsidRDefault="00E84135" w:rsidP="00E84135">
      <w:pPr>
        <w:spacing w:line="360" w:lineRule="auto"/>
        <w:jc w:val="both"/>
        <w:rPr>
          <w:rFonts w:cstheme="minorHAnsi"/>
          <w:sz w:val="24"/>
          <w:szCs w:val="24"/>
        </w:rPr>
      </w:pPr>
      <w:r w:rsidRPr="00E84135">
        <w:rPr>
          <w:rFonts w:cstheme="minorHAnsi"/>
          <w:sz w:val="24"/>
          <w:szCs w:val="24"/>
        </w:rPr>
        <w:t>El marco deberá pegarse con cemento puro. Tendrán perforaciones para el “plastiducto” proveniente del interior de la columna y para el caño de “PVC” que unirá la cámara con la acometida desde la fachada, mínimo de dos pulgadas de diámetro.</w:t>
      </w:r>
    </w:p>
    <w:p w14:paraId="7831AFCE" w14:textId="2F08A1D3" w:rsidR="00E84135" w:rsidRPr="00E84135" w:rsidRDefault="00E84135" w:rsidP="002366EC">
      <w:pPr>
        <w:pStyle w:val="Ttulo1"/>
      </w:pPr>
      <w:bookmarkStart w:id="31" w:name="_Toc37834268"/>
      <w:r w:rsidRPr="00E84135">
        <w:t>Acometidas</w:t>
      </w:r>
      <w:bookmarkEnd w:id="31"/>
    </w:p>
    <w:p w14:paraId="25325FAF" w14:textId="77777777" w:rsidR="00E84135" w:rsidRPr="00E84135" w:rsidRDefault="00E84135" w:rsidP="00E84135">
      <w:pPr>
        <w:spacing w:line="360" w:lineRule="auto"/>
        <w:jc w:val="both"/>
        <w:rPr>
          <w:rFonts w:cstheme="minorHAnsi"/>
          <w:sz w:val="24"/>
          <w:szCs w:val="24"/>
        </w:rPr>
      </w:pPr>
      <w:r w:rsidRPr="00E84135">
        <w:rPr>
          <w:rFonts w:cstheme="minorHAnsi"/>
          <w:sz w:val="24"/>
          <w:szCs w:val="24"/>
        </w:rPr>
        <w:t xml:space="preserve">Serán de caño galvanizado de dos pulgadas de diámetro y fijadas a la fachada con grapas amuradas. A través de cada uno deberán enhebrarse, cómodamente, dos conductores de la línea de lámparas, uno que baja desde la línea aérea sobre fachada y otro que sube, desde el empalme en la cámara, para la continuación de la distribución a los restantes </w:t>
      </w:r>
      <w:r w:rsidRPr="00E84135">
        <w:rPr>
          <w:rFonts w:cstheme="minorHAnsi"/>
          <w:sz w:val="24"/>
          <w:szCs w:val="24"/>
        </w:rPr>
        <w:lastRenderedPageBreak/>
        <w:t>artefactos. Se instalarán una por cada cámara más una independiente para la bajada del conductor de 220 voltios que alimentará a cada uno de los controladores electrónicos.</w:t>
      </w:r>
    </w:p>
    <w:p w14:paraId="188D7B24" w14:textId="24423C6F" w:rsidR="00E84135" w:rsidRPr="00E84135" w:rsidRDefault="00E84135" w:rsidP="002366EC">
      <w:pPr>
        <w:pStyle w:val="Ttulo1"/>
      </w:pPr>
      <w:bookmarkStart w:id="32" w:name="_Toc37834269"/>
      <w:r w:rsidRPr="00E84135">
        <w:t>Descarga (puestas) a Tierra</w:t>
      </w:r>
      <w:bookmarkEnd w:id="32"/>
    </w:p>
    <w:p w14:paraId="06B9E142" w14:textId="0BA5343C" w:rsidR="00E84135" w:rsidRPr="00E84135" w:rsidRDefault="00E84135" w:rsidP="00E84135">
      <w:pPr>
        <w:spacing w:line="360" w:lineRule="auto"/>
        <w:jc w:val="both"/>
        <w:rPr>
          <w:rFonts w:cstheme="minorHAnsi"/>
          <w:sz w:val="24"/>
          <w:szCs w:val="24"/>
        </w:rPr>
      </w:pPr>
      <w:r w:rsidRPr="00E84135">
        <w:rPr>
          <w:rFonts w:cstheme="minorHAnsi"/>
          <w:sz w:val="24"/>
          <w:szCs w:val="24"/>
        </w:rPr>
        <w:t>La instalación de puesta a tierra estará de acuerdo a la normativa vigente. Los elementos que deberán contar con descarga a tierra de seguridad son: controlador y su gabinete, tablero o cajón de medidores de UTE y columnas metálicas. Se sugiere una descarga a tierra para cada cruce, a través de jabalinas de cobre enterradas, de dos metros, con conector “tomacable”, en cada una de las cámaras de 60 cm x 60 cm a la salida de los fustes. El hincado el hincado de jabalinas, una por cada columna y una en el controlador; y uniendo las mismas con conductor de tierra de cuatro mm</w:t>
      </w:r>
      <w:r w:rsidRPr="00390E07">
        <w:rPr>
          <w:rFonts w:cstheme="minorHAnsi"/>
          <w:sz w:val="24"/>
          <w:szCs w:val="24"/>
          <w:vertAlign w:val="superscript"/>
        </w:rPr>
        <w:t>2</w:t>
      </w:r>
      <w:r w:rsidRPr="00E84135">
        <w:rPr>
          <w:rFonts w:cstheme="minorHAnsi"/>
          <w:sz w:val="24"/>
          <w:szCs w:val="24"/>
        </w:rPr>
        <w:t xml:space="preserve">. Para el controlador se asegurará un valor de resistencia de tierra cinco </w:t>
      </w:r>
      <w:r w:rsidR="00390E07" w:rsidRPr="00E84135">
        <w:rPr>
          <w:rFonts w:cstheme="minorHAnsi"/>
          <w:sz w:val="24"/>
          <w:szCs w:val="24"/>
        </w:rPr>
        <w:t>ohm</w:t>
      </w:r>
      <w:r w:rsidRPr="00E84135">
        <w:rPr>
          <w:rFonts w:cstheme="minorHAnsi"/>
          <w:sz w:val="24"/>
          <w:szCs w:val="24"/>
        </w:rPr>
        <w:t>. El resto de la instalación se deberá asegurar para la peor condición atmosférica manteniendo la tensión de contacto por debajo de 24 voltios (protección contra contactos indirectos).</w:t>
      </w:r>
    </w:p>
    <w:p w14:paraId="240357E7" w14:textId="3961B593" w:rsidR="00E84135" w:rsidRPr="00E84135" w:rsidRDefault="00E84135" w:rsidP="002366EC">
      <w:pPr>
        <w:pStyle w:val="Ttulo1"/>
      </w:pPr>
      <w:bookmarkStart w:id="33" w:name="_Toc37834270"/>
      <w:r w:rsidRPr="00E84135">
        <w:t>Emisores de sonido para personas con problemas de visión</w:t>
      </w:r>
      <w:bookmarkEnd w:id="33"/>
    </w:p>
    <w:p w14:paraId="2F4FF1DD" w14:textId="77777777" w:rsidR="00E84135" w:rsidRPr="00E84135" w:rsidRDefault="00E84135" w:rsidP="00E84135">
      <w:pPr>
        <w:spacing w:line="360" w:lineRule="auto"/>
        <w:jc w:val="both"/>
        <w:rPr>
          <w:rFonts w:cstheme="minorHAnsi"/>
          <w:sz w:val="24"/>
          <w:szCs w:val="24"/>
        </w:rPr>
      </w:pPr>
      <w:r w:rsidRPr="00E84135">
        <w:rPr>
          <w:rFonts w:cstheme="minorHAnsi"/>
          <w:sz w:val="24"/>
          <w:szCs w:val="24"/>
        </w:rPr>
        <w:t>Cumplir con lo indicado en la norma UNIT 200:2010 “Accesibilidad de las personas al medio físico – criterios y requisitos generales de diseño para un entorno edificado accesible. En particular, los semáforos deberán emitir una señal claramente audible, simultáneamente a la habilitación de cada fase que permita el cruce peatonal. Los mismos deberán ajustarse a normas internacionales exigibles para ese tipo de dispositivo, suministrando certificados que avalen lo anterior.</w:t>
      </w:r>
    </w:p>
    <w:p w14:paraId="28FE86ED" w14:textId="67625401" w:rsidR="00E84135" w:rsidRPr="00E84135" w:rsidRDefault="00E84135" w:rsidP="002366EC">
      <w:pPr>
        <w:pStyle w:val="Ttulo1"/>
      </w:pPr>
      <w:bookmarkStart w:id="34" w:name="_Toc37834271"/>
      <w:r w:rsidRPr="00E84135">
        <w:t>Posibilidad de ofrecimiento de otros materiales, dimensiones o configuraciones</w:t>
      </w:r>
      <w:bookmarkEnd w:id="34"/>
      <w:r w:rsidRPr="00E84135">
        <w:t xml:space="preserve"> </w:t>
      </w:r>
    </w:p>
    <w:p w14:paraId="478AEB31" w14:textId="77777777" w:rsidR="00E84135" w:rsidRPr="00E84135" w:rsidRDefault="00E84135" w:rsidP="00E84135">
      <w:pPr>
        <w:spacing w:line="360" w:lineRule="auto"/>
        <w:jc w:val="both"/>
        <w:rPr>
          <w:rFonts w:cstheme="minorHAnsi"/>
          <w:sz w:val="24"/>
          <w:szCs w:val="24"/>
        </w:rPr>
      </w:pPr>
      <w:r w:rsidRPr="00E84135">
        <w:rPr>
          <w:rFonts w:cstheme="minorHAnsi"/>
          <w:sz w:val="24"/>
          <w:szCs w:val="24"/>
        </w:rPr>
        <w:t>Para todos los incisos (materiales, procedimientos) de estas especificaciones particulares, podrán ofrecerse otros materiales, diferentes dimensiones y configuraciones de las indicadas. En estos casos se deberá justificar debidamente las ventajas comparativas de la modificación o desvío (costos, tiempos de instalación, antecedentes de aplicación nacional y/o regional MERCOSUR, etcétera). Será necesario presentar documentación técnica de respaldo.</w:t>
      </w:r>
    </w:p>
    <w:p w14:paraId="376DA060" w14:textId="77B17E07" w:rsidR="00E84135" w:rsidRPr="00E84135" w:rsidRDefault="00E84135" w:rsidP="002366EC">
      <w:pPr>
        <w:pStyle w:val="Ttulo1"/>
      </w:pPr>
      <w:bookmarkStart w:id="35" w:name="_Toc37834272"/>
      <w:r w:rsidRPr="00E84135">
        <w:lastRenderedPageBreak/>
        <w:t>Presentación de cotizaciones</w:t>
      </w:r>
      <w:bookmarkEnd w:id="35"/>
      <w:r w:rsidRPr="00E84135">
        <w:t xml:space="preserve"> </w:t>
      </w:r>
    </w:p>
    <w:p w14:paraId="776B9A6D" w14:textId="77777777" w:rsidR="002366EC" w:rsidRDefault="00E84135" w:rsidP="00E84135">
      <w:pPr>
        <w:spacing w:line="360" w:lineRule="auto"/>
        <w:jc w:val="both"/>
        <w:rPr>
          <w:rFonts w:cstheme="minorHAnsi"/>
          <w:sz w:val="24"/>
          <w:szCs w:val="24"/>
        </w:rPr>
      </w:pPr>
      <w:r w:rsidRPr="00E84135">
        <w:rPr>
          <w:rFonts w:cstheme="minorHAnsi"/>
          <w:sz w:val="24"/>
          <w:szCs w:val="24"/>
        </w:rPr>
        <w:t>El contratista cotizará la obra debiendo presentar detalle con: designación, unidad de medida, precio unitario y metraje, de cada rubro.</w:t>
      </w:r>
      <w:r w:rsidR="002366EC">
        <w:rPr>
          <w:rFonts w:cstheme="minorHAnsi"/>
          <w:sz w:val="24"/>
          <w:szCs w:val="24"/>
        </w:rPr>
        <w:t xml:space="preserve"> </w:t>
      </w:r>
      <w:r w:rsidRPr="00E84135">
        <w:rPr>
          <w:rFonts w:cstheme="minorHAnsi"/>
          <w:sz w:val="24"/>
          <w:szCs w:val="24"/>
        </w:rPr>
        <w:t>Son de exclusivo riesgo del contratista los eventuales errores que se puedan cometer en los precios unitarios.</w:t>
      </w:r>
      <w:r w:rsidR="002366EC">
        <w:rPr>
          <w:rFonts w:cstheme="minorHAnsi"/>
          <w:sz w:val="24"/>
          <w:szCs w:val="24"/>
        </w:rPr>
        <w:t xml:space="preserve"> </w:t>
      </w:r>
      <w:r w:rsidRPr="00E84135">
        <w:rPr>
          <w:rFonts w:cstheme="minorHAnsi"/>
          <w:sz w:val="24"/>
          <w:szCs w:val="24"/>
        </w:rPr>
        <w:t>La cotización de precios unitarios no ajustados a los valores del mercado, a s</w:t>
      </w:r>
      <w:r w:rsidR="002366EC">
        <w:rPr>
          <w:rFonts w:cstheme="minorHAnsi"/>
          <w:sz w:val="24"/>
          <w:szCs w:val="24"/>
        </w:rPr>
        <w:t>o</w:t>
      </w:r>
      <w:r w:rsidRPr="00E84135">
        <w:rPr>
          <w:rFonts w:cstheme="minorHAnsi"/>
          <w:sz w:val="24"/>
          <w:szCs w:val="24"/>
        </w:rPr>
        <w:t>lo juicio de la Administración, podrán dar lugar a la anulación de la propuesta.</w:t>
      </w:r>
      <w:r w:rsidR="002366EC">
        <w:rPr>
          <w:rFonts w:cstheme="minorHAnsi"/>
          <w:sz w:val="24"/>
          <w:szCs w:val="24"/>
        </w:rPr>
        <w:t xml:space="preserve"> </w:t>
      </w:r>
    </w:p>
    <w:p w14:paraId="2C6A0C14" w14:textId="6839407B" w:rsidR="00E84135" w:rsidRPr="00E84135" w:rsidRDefault="00E84135" w:rsidP="00E84135">
      <w:pPr>
        <w:spacing w:line="360" w:lineRule="auto"/>
        <w:jc w:val="both"/>
        <w:rPr>
          <w:rFonts w:cstheme="minorHAnsi"/>
          <w:sz w:val="24"/>
          <w:szCs w:val="24"/>
        </w:rPr>
      </w:pPr>
      <w:r w:rsidRPr="00E84135">
        <w:rPr>
          <w:rFonts w:cstheme="minorHAnsi"/>
          <w:sz w:val="24"/>
          <w:szCs w:val="24"/>
        </w:rPr>
        <w:t>Asimismo, el contratista detallará los procedimientos constructivos a emplear.</w:t>
      </w:r>
    </w:p>
    <w:p w14:paraId="7B5E2F2F" w14:textId="2FB5F562" w:rsidR="00E84135" w:rsidRPr="00E84135" w:rsidRDefault="00E84135" w:rsidP="002366EC">
      <w:pPr>
        <w:pStyle w:val="Ttulo1"/>
      </w:pPr>
      <w:bookmarkStart w:id="36" w:name="_Toc37834273"/>
      <w:r w:rsidRPr="00E84135">
        <w:t>Repuestos y mantenimiento</w:t>
      </w:r>
      <w:bookmarkEnd w:id="36"/>
    </w:p>
    <w:p w14:paraId="674508B2" w14:textId="77777777" w:rsidR="00E84135" w:rsidRPr="00E84135" w:rsidRDefault="00E84135" w:rsidP="00E84135">
      <w:pPr>
        <w:spacing w:line="360" w:lineRule="auto"/>
        <w:jc w:val="both"/>
        <w:rPr>
          <w:rFonts w:cstheme="minorHAnsi"/>
          <w:sz w:val="24"/>
          <w:szCs w:val="24"/>
        </w:rPr>
      </w:pPr>
      <w:r w:rsidRPr="00E84135">
        <w:rPr>
          <w:rFonts w:cstheme="minorHAnsi"/>
          <w:sz w:val="24"/>
          <w:szCs w:val="24"/>
        </w:rPr>
        <w:t>De todos y cada uno de los elementos integrantes del semáforo deberá indicarse disponibilidad de repuestos (nuevos) en caso de ser necesario su reposición total por mantenimiento rutinario, extraordinario, falla, siniestro o cualquier otra eventualidad. La disponibilidad se expresará en precios unitarios y plazos de instalación y entrada en operación, desde que la necesidad sea efectiva y correctamente reportada.</w:t>
      </w:r>
    </w:p>
    <w:p w14:paraId="5E6B80C9" w14:textId="77777777" w:rsidR="00E84135" w:rsidRPr="00E84135" w:rsidRDefault="00E84135" w:rsidP="00E84135">
      <w:pPr>
        <w:spacing w:line="360" w:lineRule="auto"/>
        <w:jc w:val="both"/>
        <w:rPr>
          <w:rFonts w:cstheme="minorHAnsi"/>
          <w:sz w:val="24"/>
          <w:szCs w:val="24"/>
        </w:rPr>
      </w:pPr>
      <w:r w:rsidRPr="00E84135">
        <w:rPr>
          <w:rFonts w:cstheme="minorHAnsi"/>
          <w:sz w:val="24"/>
          <w:szCs w:val="24"/>
        </w:rPr>
        <w:t>Se deberá contar con un servicio técnico especializado de respaldo para las reparaciones que demanden los controladores, que serán equipos que no necesiten mantenimiento rutinario.</w:t>
      </w:r>
    </w:p>
    <w:p w14:paraId="1A083AD6" w14:textId="5D387CFA" w:rsidR="007D3B7B" w:rsidRPr="00E84135" w:rsidRDefault="00E84135" w:rsidP="00E84135">
      <w:pPr>
        <w:spacing w:line="360" w:lineRule="auto"/>
        <w:jc w:val="both"/>
        <w:rPr>
          <w:rFonts w:cstheme="minorHAnsi"/>
          <w:sz w:val="24"/>
          <w:szCs w:val="24"/>
        </w:rPr>
      </w:pPr>
      <w:r w:rsidRPr="00E84135">
        <w:rPr>
          <w:rFonts w:cstheme="minorHAnsi"/>
          <w:sz w:val="24"/>
          <w:szCs w:val="24"/>
        </w:rPr>
        <w:t>Las baterías de respaldo de programas y reloj, serán del tipo sin mantenimiento. Se indicará especialmente la duración prevista por el fabricante de las mismas. La Administración se reserva el derecho de solicitar la sustitución del tipo de batería ofrecido.</w:t>
      </w:r>
    </w:p>
    <w:sectPr w:rsidR="007D3B7B" w:rsidRPr="00E84135">
      <w:footerReference w:type="default" r:id="rId8"/>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BF4234" w14:textId="77777777" w:rsidR="000607E7" w:rsidRDefault="000607E7" w:rsidP="002112EF">
      <w:pPr>
        <w:spacing w:after="0" w:line="240" w:lineRule="auto"/>
      </w:pPr>
      <w:r>
        <w:separator/>
      </w:r>
    </w:p>
  </w:endnote>
  <w:endnote w:type="continuationSeparator" w:id="0">
    <w:p w14:paraId="365CF331" w14:textId="77777777" w:rsidR="000607E7" w:rsidRDefault="000607E7" w:rsidP="002112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1873087"/>
      <w:docPartObj>
        <w:docPartGallery w:val="Page Numbers (Bottom of Page)"/>
        <w:docPartUnique/>
      </w:docPartObj>
    </w:sdtPr>
    <w:sdtEndPr/>
    <w:sdtContent>
      <w:sdt>
        <w:sdtPr>
          <w:id w:val="-1769616900"/>
          <w:docPartObj>
            <w:docPartGallery w:val="Page Numbers (Top of Page)"/>
            <w:docPartUnique/>
          </w:docPartObj>
        </w:sdtPr>
        <w:sdtEndPr/>
        <w:sdtContent>
          <w:p w14:paraId="2D663D79" w14:textId="78A7270C" w:rsidR="002112EF" w:rsidRDefault="002112EF">
            <w:pPr>
              <w:pStyle w:val="Piedepgina"/>
              <w:jc w:val="right"/>
            </w:pPr>
            <w:r w:rsidRPr="002112EF">
              <w:rPr>
                <w:sz w:val="20"/>
                <w:szCs w:val="20"/>
              </w:rPr>
              <w:t xml:space="preserve">Página </w:t>
            </w:r>
            <w:r w:rsidRPr="002112EF">
              <w:rPr>
                <w:sz w:val="20"/>
                <w:szCs w:val="20"/>
              </w:rPr>
              <w:fldChar w:fldCharType="begin"/>
            </w:r>
            <w:r w:rsidRPr="002112EF">
              <w:rPr>
                <w:sz w:val="20"/>
                <w:szCs w:val="20"/>
              </w:rPr>
              <w:instrText>PAGE</w:instrText>
            </w:r>
            <w:r w:rsidRPr="002112EF">
              <w:rPr>
                <w:sz w:val="20"/>
                <w:szCs w:val="20"/>
              </w:rPr>
              <w:fldChar w:fldCharType="separate"/>
            </w:r>
            <w:r w:rsidR="006569B1">
              <w:rPr>
                <w:noProof/>
                <w:sz w:val="20"/>
                <w:szCs w:val="20"/>
              </w:rPr>
              <w:t>1</w:t>
            </w:r>
            <w:r w:rsidRPr="002112EF">
              <w:rPr>
                <w:sz w:val="20"/>
                <w:szCs w:val="20"/>
              </w:rPr>
              <w:fldChar w:fldCharType="end"/>
            </w:r>
            <w:r w:rsidRPr="002112EF">
              <w:rPr>
                <w:sz w:val="20"/>
                <w:szCs w:val="20"/>
              </w:rPr>
              <w:t xml:space="preserve"> de </w:t>
            </w:r>
            <w:r w:rsidRPr="002112EF">
              <w:rPr>
                <w:sz w:val="20"/>
                <w:szCs w:val="20"/>
              </w:rPr>
              <w:fldChar w:fldCharType="begin"/>
            </w:r>
            <w:r w:rsidRPr="002112EF">
              <w:rPr>
                <w:sz w:val="20"/>
                <w:szCs w:val="20"/>
              </w:rPr>
              <w:instrText>NUMPAGES</w:instrText>
            </w:r>
            <w:r w:rsidRPr="002112EF">
              <w:rPr>
                <w:sz w:val="20"/>
                <w:szCs w:val="20"/>
              </w:rPr>
              <w:fldChar w:fldCharType="separate"/>
            </w:r>
            <w:r w:rsidR="006569B1">
              <w:rPr>
                <w:noProof/>
                <w:sz w:val="20"/>
                <w:szCs w:val="20"/>
              </w:rPr>
              <w:t>23</w:t>
            </w:r>
            <w:r w:rsidRPr="002112EF">
              <w:rPr>
                <w:sz w:val="20"/>
                <w:szCs w:val="20"/>
              </w:rPr>
              <w:fldChar w:fldCharType="end"/>
            </w:r>
          </w:p>
        </w:sdtContent>
      </w:sdt>
    </w:sdtContent>
  </w:sdt>
  <w:p w14:paraId="64DE3E75" w14:textId="77777777" w:rsidR="002112EF" w:rsidRDefault="002112EF">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708DADE" w14:textId="77777777" w:rsidR="000607E7" w:rsidRDefault="000607E7" w:rsidP="002112EF">
      <w:pPr>
        <w:spacing w:after="0" w:line="240" w:lineRule="auto"/>
      </w:pPr>
      <w:r>
        <w:separator/>
      </w:r>
    </w:p>
  </w:footnote>
  <w:footnote w:type="continuationSeparator" w:id="0">
    <w:p w14:paraId="48E61552" w14:textId="77777777" w:rsidR="000607E7" w:rsidRDefault="000607E7" w:rsidP="002112E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F667CD2"/>
    <w:multiLevelType w:val="multilevel"/>
    <w:tmpl w:val="1E5C0E06"/>
    <w:lvl w:ilvl="0">
      <w:start w:val="1"/>
      <w:numFmt w:val="decimal"/>
      <w:lvlText w:val="%1."/>
      <w:lvlJc w:val="left"/>
      <w:pPr>
        <w:ind w:left="360" w:hanging="360"/>
      </w:pPr>
    </w:lvl>
    <w:lvl w:ilvl="1">
      <w:start w:val="1"/>
      <w:numFmt w:val="decimal"/>
      <w:lvlText w:val="%1.%2"/>
      <w:lvlJc w:val="left"/>
      <w:pPr>
        <w:tabs>
          <w:tab w:val="num" w:pos="576"/>
        </w:tabs>
        <w:ind w:left="576" w:hanging="576"/>
      </w:pPr>
      <w:rPr>
        <w:i w:val="0"/>
        <w:sz w:val="24"/>
        <w:szCs w:val="24"/>
      </w:rPr>
    </w:lvl>
    <w:lvl w:ilvl="2">
      <w:start w:val="1"/>
      <w:numFmt w:val="decimal"/>
      <w:pStyle w:val="Ttulo3"/>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15:restartNumberingAfterBreak="0">
    <w:nsid w:val="40843C8C"/>
    <w:multiLevelType w:val="hybridMultilevel"/>
    <w:tmpl w:val="00342522"/>
    <w:lvl w:ilvl="0" w:tplc="0C0A0001">
      <w:start w:val="1"/>
      <w:numFmt w:val="bullet"/>
      <w:lvlText w:val=""/>
      <w:lvlJc w:val="left"/>
      <w:pPr>
        <w:ind w:left="720" w:hanging="360"/>
      </w:pPr>
      <w:rPr>
        <w:rFonts w:ascii="Symbol" w:hAnsi="Symbol" w:cs="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cs="Wingdings" w:hint="default"/>
      </w:rPr>
    </w:lvl>
    <w:lvl w:ilvl="3" w:tplc="0C0A0001" w:tentative="1">
      <w:start w:val="1"/>
      <w:numFmt w:val="bullet"/>
      <w:lvlText w:val=""/>
      <w:lvlJc w:val="left"/>
      <w:pPr>
        <w:ind w:left="2880" w:hanging="360"/>
      </w:pPr>
      <w:rPr>
        <w:rFonts w:ascii="Symbol" w:hAnsi="Symbol" w:cs="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cs="Wingdings" w:hint="default"/>
      </w:rPr>
    </w:lvl>
    <w:lvl w:ilvl="6" w:tplc="0C0A0001" w:tentative="1">
      <w:start w:val="1"/>
      <w:numFmt w:val="bullet"/>
      <w:lvlText w:val=""/>
      <w:lvlJc w:val="left"/>
      <w:pPr>
        <w:ind w:left="5040" w:hanging="360"/>
      </w:pPr>
      <w:rPr>
        <w:rFonts w:ascii="Symbol" w:hAnsi="Symbol" w:cs="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cs="Wingdings" w:hint="default"/>
      </w:rPr>
    </w:lvl>
  </w:abstractNum>
  <w:abstractNum w:abstractNumId="2" w15:restartNumberingAfterBreak="0">
    <w:nsid w:val="667F63AA"/>
    <w:multiLevelType w:val="multilevel"/>
    <w:tmpl w:val="D758CE36"/>
    <w:lvl w:ilvl="0">
      <w:start w:val="1"/>
      <w:numFmt w:val="decimal"/>
      <w:pStyle w:val="Ttulo1"/>
      <w:lvlText w:val="%1."/>
      <w:lvlJc w:val="left"/>
      <w:pPr>
        <w:ind w:left="720" w:hanging="360"/>
      </w:pPr>
    </w:lvl>
    <w:lvl w:ilvl="1">
      <w:start w:val="1"/>
      <w:numFmt w:val="decimal"/>
      <w:pStyle w:val="Ttulo2"/>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6A045A53"/>
    <w:multiLevelType w:val="hybridMultilevel"/>
    <w:tmpl w:val="B396F6D6"/>
    <w:lvl w:ilvl="0" w:tplc="2EC248BC">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 w15:restartNumberingAfterBreak="0">
    <w:nsid w:val="791A3429"/>
    <w:multiLevelType w:val="hybridMultilevel"/>
    <w:tmpl w:val="78E8FA20"/>
    <w:lvl w:ilvl="0" w:tplc="2298AB92">
      <w:numFmt w:val="bullet"/>
      <w:lvlText w:val="•"/>
      <w:lvlJc w:val="left"/>
      <w:pPr>
        <w:ind w:left="708" w:hanging="708"/>
      </w:pPr>
      <w:rPr>
        <w:rFonts w:ascii="Calibri" w:eastAsiaTheme="minorHAnsi" w:hAnsi="Calibri" w:cs="Calibri"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cs="Wingdings" w:hint="default"/>
      </w:rPr>
    </w:lvl>
    <w:lvl w:ilvl="3" w:tplc="0C0A0001" w:tentative="1">
      <w:start w:val="1"/>
      <w:numFmt w:val="bullet"/>
      <w:lvlText w:val=""/>
      <w:lvlJc w:val="left"/>
      <w:pPr>
        <w:ind w:left="2520" w:hanging="360"/>
      </w:pPr>
      <w:rPr>
        <w:rFonts w:ascii="Symbol" w:hAnsi="Symbol" w:cs="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cs="Wingdings" w:hint="default"/>
      </w:rPr>
    </w:lvl>
    <w:lvl w:ilvl="6" w:tplc="0C0A0001" w:tentative="1">
      <w:start w:val="1"/>
      <w:numFmt w:val="bullet"/>
      <w:lvlText w:val=""/>
      <w:lvlJc w:val="left"/>
      <w:pPr>
        <w:ind w:left="4680" w:hanging="360"/>
      </w:pPr>
      <w:rPr>
        <w:rFonts w:ascii="Symbol" w:hAnsi="Symbol" w:cs="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cs="Wingdings" w:hint="default"/>
      </w:rPr>
    </w:lvl>
  </w:abstractNum>
  <w:num w:numId="1">
    <w:abstractNumId w:val="0"/>
  </w:num>
  <w:num w:numId="2">
    <w:abstractNumId w:val="2"/>
  </w:num>
  <w:num w:numId="3">
    <w:abstractNumId w:val="3"/>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6D27"/>
    <w:rsid w:val="000607E7"/>
    <w:rsid w:val="00090D39"/>
    <w:rsid w:val="001E400B"/>
    <w:rsid w:val="002112EF"/>
    <w:rsid w:val="002366EC"/>
    <w:rsid w:val="00390E07"/>
    <w:rsid w:val="00534A79"/>
    <w:rsid w:val="006569B1"/>
    <w:rsid w:val="007D3B7B"/>
    <w:rsid w:val="00956C11"/>
    <w:rsid w:val="00B94BF4"/>
    <w:rsid w:val="00C0116B"/>
    <w:rsid w:val="00C56D27"/>
    <w:rsid w:val="00D917F5"/>
    <w:rsid w:val="00DF4286"/>
    <w:rsid w:val="00E84135"/>
    <w:rsid w:val="00EB0F0C"/>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1F5DD7"/>
  <w15:chartTrackingRefBased/>
  <w15:docId w15:val="{A6D8AA0A-D90A-4AA8-95CD-B9F1F1B152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1">
    <w:name w:val="heading 1"/>
    <w:basedOn w:val="Normal"/>
    <w:next w:val="Normal"/>
    <w:link w:val="Ttulo1Car"/>
    <w:uiPriority w:val="9"/>
    <w:qFormat/>
    <w:rsid w:val="002366EC"/>
    <w:pPr>
      <w:keepNext/>
      <w:keepLines/>
      <w:numPr>
        <w:numId w:val="2"/>
      </w:numPr>
      <w:spacing w:before="240" w:after="0"/>
      <w:ind w:left="357" w:hanging="357"/>
      <w:outlineLvl w:val="0"/>
    </w:pPr>
    <w:rPr>
      <w:rFonts w:asciiTheme="majorHAnsi" w:eastAsiaTheme="majorEastAsia" w:hAnsiTheme="majorHAnsi" w:cstheme="majorBidi"/>
      <w:b/>
      <w:sz w:val="28"/>
      <w:szCs w:val="32"/>
    </w:rPr>
  </w:style>
  <w:style w:type="paragraph" w:styleId="Ttulo2">
    <w:name w:val="heading 2"/>
    <w:basedOn w:val="Normal"/>
    <w:next w:val="Normal"/>
    <w:link w:val="Ttulo2Car"/>
    <w:uiPriority w:val="9"/>
    <w:unhideWhenUsed/>
    <w:qFormat/>
    <w:rsid w:val="002366EC"/>
    <w:pPr>
      <w:keepNext/>
      <w:keepLines/>
      <w:numPr>
        <w:ilvl w:val="1"/>
        <w:numId w:val="2"/>
      </w:numPr>
      <w:spacing w:before="40" w:after="0"/>
      <w:ind w:left="357" w:hanging="357"/>
      <w:outlineLvl w:val="1"/>
    </w:pPr>
    <w:rPr>
      <w:rFonts w:asciiTheme="majorHAnsi" w:eastAsiaTheme="majorEastAsia" w:hAnsiTheme="majorHAnsi" w:cstheme="majorBidi"/>
      <w:color w:val="000000" w:themeColor="text1"/>
      <w:sz w:val="24"/>
      <w:szCs w:val="26"/>
    </w:rPr>
  </w:style>
  <w:style w:type="paragraph" w:styleId="Ttulo3">
    <w:name w:val="heading 3"/>
    <w:basedOn w:val="Normal"/>
    <w:next w:val="Normal"/>
    <w:link w:val="Ttulo3Car"/>
    <w:autoRedefine/>
    <w:qFormat/>
    <w:rsid w:val="00B94BF4"/>
    <w:pPr>
      <w:keepNext/>
      <w:keepLines/>
      <w:widowControl w:val="0"/>
      <w:numPr>
        <w:ilvl w:val="2"/>
        <w:numId w:val="1"/>
      </w:numPr>
      <w:tabs>
        <w:tab w:val="num" w:pos="0"/>
      </w:tabs>
      <w:spacing w:before="240" w:after="60" w:line="360" w:lineRule="auto"/>
      <w:jc w:val="both"/>
      <w:outlineLvl w:val="2"/>
    </w:pPr>
    <w:rPr>
      <w:rFonts w:eastAsia="Times New Roman" w:cstheme="minorHAnsi"/>
      <w:bCs/>
      <w:iCs/>
      <w:spacing w:val="-3"/>
      <w:sz w:val="24"/>
      <w:szCs w:val="24"/>
      <w:lang w:val="es-ES_tradnl"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3Car">
    <w:name w:val="Título 3 Car"/>
    <w:basedOn w:val="Fuentedeprrafopredeter"/>
    <w:link w:val="Ttulo3"/>
    <w:rsid w:val="00B94BF4"/>
    <w:rPr>
      <w:rFonts w:eastAsia="Times New Roman" w:cstheme="minorHAnsi"/>
      <w:bCs/>
      <w:iCs/>
      <w:spacing w:val="-3"/>
      <w:sz w:val="24"/>
      <w:szCs w:val="24"/>
      <w:lang w:val="es-ES_tradnl" w:eastAsia="es-ES"/>
    </w:rPr>
  </w:style>
  <w:style w:type="character" w:customStyle="1" w:styleId="Ttulo1Car">
    <w:name w:val="Título 1 Car"/>
    <w:basedOn w:val="Fuentedeprrafopredeter"/>
    <w:link w:val="Ttulo1"/>
    <w:uiPriority w:val="9"/>
    <w:rsid w:val="002366EC"/>
    <w:rPr>
      <w:rFonts w:asciiTheme="majorHAnsi" w:eastAsiaTheme="majorEastAsia" w:hAnsiTheme="majorHAnsi" w:cstheme="majorBidi"/>
      <w:b/>
      <w:sz w:val="28"/>
      <w:szCs w:val="32"/>
    </w:rPr>
  </w:style>
  <w:style w:type="character" w:customStyle="1" w:styleId="Ttulo2Car">
    <w:name w:val="Título 2 Car"/>
    <w:basedOn w:val="Fuentedeprrafopredeter"/>
    <w:link w:val="Ttulo2"/>
    <w:uiPriority w:val="9"/>
    <w:rsid w:val="002366EC"/>
    <w:rPr>
      <w:rFonts w:asciiTheme="majorHAnsi" w:eastAsiaTheme="majorEastAsia" w:hAnsiTheme="majorHAnsi" w:cstheme="majorBidi"/>
      <w:color w:val="000000" w:themeColor="text1"/>
      <w:sz w:val="24"/>
      <w:szCs w:val="26"/>
    </w:rPr>
  </w:style>
  <w:style w:type="paragraph" w:styleId="Encabezado">
    <w:name w:val="header"/>
    <w:basedOn w:val="Normal"/>
    <w:link w:val="EncabezadoCar"/>
    <w:uiPriority w:val="99"/>
    <w:unhideWhenUsed/>
    <w:rsid w:val="002112EF"/>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2112EF"/>
  </w:style>
  <w:style w:type="paragraph" w:styleId="Piedepgina">
    <w:name w:val="footer"/>
    <w:basedOn w:val="Normal"/>
    <w:link w:val="PiedepginaCar"/>
    <w:uiPriority w:val="99"/>
    <w:unhideWhenUsed/>
    <w:rsid w:val="002112EF"/>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2112EF"/>
  </w:style>
  <w:style w:type="paragraph" w:styleId="TtuloTDC">
    <w:name w:val="TOC Heading"/>
    <w:basedOn w:val="Ttulo1"/>
    <w:next w:val="Normal"/>
    <w:uiPriority w:val="39"/>
    <w:unhideWhenUsed/>
    <w:qFormat/>
    <w:rsid w:val="00C0116B"/>
    <w:pPr>
      <w:numPr>
        <w:numId w:val="0"/>
      </w:numPr>
      <w:outlineLvl w:val="9"/>
    </w:pPr>
    <w:rPr>
      <w:b w:val="0"/>
      <w:color w:val="2F5496" w:themeColor="accent1" w:themeShade="BF"/>
      <w:sz w:val="32"/>
      <w:lang w:eastAsia="es-ES"/>
    </w:rPr>
  </w:style>
  <w:style w:type="paragraph" w:styleId="TDC1">
    <w:name w:val="toc 1"/>
    <w:basedOn w:val="Normal"/>
    <w:next w:val="Normal"/>
    <w:autoRedefine/>
    <w:uiPriority w:val="39"/>
    <w:unhideWhenUsed/>
    <w:rsid w:val="002366EC"/>
    <w:pPr>
      <w:tabs>
        <w:tab w:val="left" w:pos="440"/>
        <w:tab w:val="right" w:leader="dot" w:pos="8494"/>
      </w:tabs>
      <w:spacing w:after="100"/>
    </w:pPr>
  </w:style>
  <w:style w:type="paragraph" w:styleId="TDC2">
    <w:name w:val="toc 2"/>
    <w:basedOn w:val="Normal"/>
    <w:next w:val="Normal"/>
    <w:autoRedefine/>
    <w:uiPriority w:val="39"/>
    <w:unhideWhenUsed/>
    <w:rsid w:val="00C0116B"/>
    <w:pPr>
      <w:spacing w:after="100"/>
      <w:ind w:left="220"/>
    </w:pPr>
  </w:style>
  <w:style w:type="character" w:styleId="Hipervnculo">
    <w:name w:val="Hyperlink"/>
    <w:basedOn w:val="Fuentedeprrafopredeter"/>
    <w:uiPriority w:val="99"/>
    <w:unhideWhenUsed/>
    <w:rsid w:val="00C0116B"/>
    <w:rPr>
      <w:color w:val="0563C1" w:themeColor="hyperlink"/>
      <w:u w:val="single"/>
    </w:rPr>
  </w:style>
  <w:style w:type="paragraph" w:styleId="Prrafodelista">
    <w:name w:val="List Paragraph"/>
    <w:basedOn w:val="Normal"/>
    <w:uiPriority w:val="34"/>
    <w:qFormat/>
    <w:rsid w:val="002366E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98406F-CEF6-4E1F-A1FC-9EFEFA5D80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23</Pages>
  <Words>6841</Words>
  <Characters>37629</Characters>
  <Application>Microsoft Office Word</Application>
  <DocSecurity>0</DocSecurity>
  <Lines>313</Lines>
  <Paragraphs>88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44382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Cliente Lucas</dc:creator>
  <cp:keywords/>
  <dc:description/>
  <cp:lastModifiedBy>Raquel Vazquez Farias</cp:lastModifiedBy>
  <cp:revision>3</cp:revision>
  <dcterms:created xsi:type="dcterms:W3CDTF">2020-05-28T14:16:00Z</dcterms:created>
  <dcterms:modified xsi:type="dcterms:W3CDTF">2020-06-26T16:59:00Z</dcterms:modified>
</cp:coreProperties>
</file>